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9E5EF">
      <w:pPr>
        <w:spacing w:line="360" w:lineRule="auto"/>
        <w:ind w:right="239"/>
        <w:jc w:val="center"/>
        <w:rPr>
          <w:rFonts w:ascii="黑体" w:hAnsi="黑体" w:eastAsia="黑体" w:cs="黑体"/>
          <w:sz w:val="72"/>
          <w:szCs w:val="72"/>
        </w:rPr>
      </w:pPr>
    </w:p>
    <w:p w14:paraId="0CDC429B">
      <w:pPr>
        <w:spacing w:line="360" w:lineRule="auto"/>
        <w:ind w:right="239"/>
        <w:jc w:val="center"/>
        <w:rPr>
          <w:sz w:val="52"/>
        </w:rPr>
      </w:pPr>
      <w:r>
        <w:rPr>
          <w:rFonts w:hint="eastAsia" w:ascii="黑体" w:hAnsi="黑体" w:eastAsia="黑体" w:cs="黑体"/>
          <w:sz w:val="72"/>
          <w:szCs w:val="72"/>
          <w:lang w:val="en-US" w:eastAsia="zh-CN"/>
        </w:rPr>
        <w:t>浙江巨东股份</w:t>
      </w:r>
      <w:r>
        <w:rPr>
          <w:rFonts w:hint="eastAsia" w:ascii="黑体" w:hAnsi="黑体" w:eastAsia="黑体" w:cs="黑体"/>
          <w:sz w:val="72"/>
          <w:szCs w:val="72"/>
        </w:rPr>
        <w:t>有限公司</w:t>
      </w:r>
    </w:p>
    <w:p w14:paraId="5706C246">
      <w:pPr>
        <w:spacing w:line="360" w:lineRule="auto"/>
        <w:ind w:right="238"/>
        <w:jc w:val="center"/>
        <w:rPr>
          <w:rFonts w:hint="eastAsia"/>
          <w:sz w:val="56"/>
          <w:szCs w:val="56"/>
        </w:rPr>
      </w:pPr>
      <w:r>
        <w:rPr>
          <w:rFonts w:hint="eastAsia"/>
          <w:b/>
          <w:sz w:val="56"/>
          <w:szCs w:val="56"/>
        </w:rPr>
        <w:t>20</w:t>
      </w:r>
      <w:r>
        <w:rPr>
          <w:b/>
          <w:sz w:val="56"/>
          <w:szCs w:val="56"/>
        </w:rPr>
        <w:t>2</w:t>
      </w:r>
      <w:r>
        <w:rPr>
          <w:rFonts w:hint="eastAsia"/>
          <w:b/>
          <w:sz w:val="56"/>
          <w:szCs w:val="56"/>
          <w:lang w:val="en-US" w:eastAsia="zh-CN"/>
        </w:rPr>
        <w:t>4</w:t>
      </w:r>
      <w:r>
        <w:rPr>
          <w:rFonts w:hint="eastAsia"/>
          <w:sz w:val="56"/>
          <w:szCs w:val="56"/>
        </w:rPr>
        <w:t>年</w:t>
      </w:r>
      <w:r>
        <w:rPr>
          <w:rFonts w:hint="eastAsia"/>
          <w:sz w:val="56"/>
          <w:szCs w:val="56"/>
          <w:lang w:val="en-US"/>
        </w:rPr>
        <w:t>度</w:t>
      </w:r>
      <w:r>
        <w:rPr>
          <w:rFonts w:hint="eastAsia"/>
          <w:sz w:val="56"/>
          <w:szCs w:val="56"/>
        </w:rPr>
        <w:t>企业社会责任报告</w:t>
      </w:r>
    </w:p>
    <w:p w14:paraId="2FA7300B">
      <w:pPr>
        <w:pStyle w:val="14"/>
        <w:rPr>
          <w:rFonts w:hint="eastAsia"/>
          <w:sz w:val="56"/>
          <w:szCs w:val="56"/>
        </w:rPr>
      </w:pPr>
    </w:p>
    <w:p w14:paraId="3F498B0E">
      <w:pPr>
        <w:pStyle w:val="14"/>
        <w:rPr>
          <w:rFonts w:hint="eastAsia"/>
          <w:sz w:val="56"/>
          <w:szCs w:val="56"/>
        </w:rPr>
      </w:pPr>
    </w:p>
    <w:p w14:paraId="45C6D546">
      <w:pPr>
        <w:pStyle w:val="14"/>
        <w:rPr>
          <w:rFonts w:hint="eastAsia"/>
          <w:sz w:val="56"/>
          <w:szCs w:val="56"/>
        </w:rPr>
      </w:pPr>
    </w:p>
    <w:p w14:paraId="05D3E75B">
      <w:pPr>
        <w:pStyle w:val="5"/>
        <w:spacing w:line="360" w:lineRule="auto"/>
        <w:ind w:left="0"/>
        <w:jc w:val="center"/>
        <w:rPr>
          <w:sz w:val="58"/>
        </w:rPr>
      </w:pPr>
      <w:r>
        <w:rPr>
          <w:rFonts w:hint="eastAsia" w:ascii="宋体" w:hAnsi="宋体" w:eastAsia="宋体"/>
          <w:lang w:eastAsia="zh-CN"/>
        </w:rPr>
        <w:drawing>
          <wp:inline distT="0" distB="0" distL="114300" distR="114300">
            <wp:extent cx="5565140" cy="3328035"/>
            <wp:effectExtent l="0" t="0" r="10160" b="12065"/>
            <wp:docPr id="2" name="图片 2" descr="9a1f2f8f0fa4f418abd1aaf4523f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a1f2f8f0fa4f418abd1aaf4523fc00"/>
                    <pic:cNvPicPr>
                      <a:picLocks noChangeAspect="1"/>
                    </pic:cNvPicPr>
                  </pic:nvPicPr>
                  <pic:blipFill>
                    <a:blip r:embed="rId8"/>
                    <a:stretch>
                      <a:fillRect/>
                    </a:stretch>
                  </pic:blipFill>
                  <pic:spPr>
                    <a:xfrm>
                      <a:off x="0" y="0"/>
                      <a:ext cx="5565140" cy="3328035"/>
                    </a:xfrm>
                    <a:prstGeom prst="rect">
                      <a:avLst/>
                    </a:prstGeom>
                  </pic:spPr>
                </pic:pic>
              </a:graphicData>
            </a:graphic>
          </wp:inline>
        </w:drawing>
      </w:r>
    </w:p>
    <w:p w14:paraId="519B9895">
      <w:pPr>
        <w:pStyle w:val="5"/>
        <w:spacing w:line="360" w:lineRule="auto"/>
        <w:ind w:left="0"/>
        <w:rPr>
          <w:sz w:val="58"/>
        </w:rPr>
      </w:pPr>
    </w:p>
    <w:p w14:paraId="1078DB14">
      <w:pPr>
        <w:spacing w:line="360" w:lineRule="auto"/>
        <w:jc w:val="center"/>
        <w:rPr>
          <w:rFonts w:ascii="楷体" w:hAnsi="楷体" w:eastAsia="楷体"/>
          <w:sz w:val="48"/>
          <w:szCs w:val="44"/>
        </w:rPr>
      </w:pPr>
      <w:r>
        <w:rPr>
          <w:rFonts w:hint="eastAsia" w:ascii="楷体" w:hAnsi="楷体" w:eastAsia="楷体"/>
          <w:sz w:val="48"/>
          <w:szCs w:val="44"/>
        </w:rPr>
        <w:t>二零二</w:t>
      </w:r>
      <w:r>
        <w:rPr>
          <w:rFonts w:hint="eastAsia" w:ascii="楷体" w:hAnsi="楷体" w:eastAsia="楷体"/>
          <w:sz w:val="48"/>
          <w:szCs w:val="44"/>
          <w:lang w:val="en-US" w:eastAsia="zh-CN"/>
        </w:rPr>
        <w:t>五</w:t>
      </w:r>
      <w:r>
        <w:rPr>
          <w:rFonts w:hint="eastAsia" w:ascii="楷体" w:hAnsi="楷体" w:eastAsia="楷体"/>
          <w:sz w:val="48"/>
          <w:szCs w:val="44"/>
        </w:rPr>
        <w:t>年</w:t>
      </w:r>
      <w:r>
        <w:rPr>
          <w:rFonts w:hint="eastAsia" w:ascii="楷体" w:hAnsi="楷体" w:eastAsia="楷体"/>
          <w:sz w:val="48"/>
          <w:szCs w:val="44"/>
          <w:lang w:val="en-US" w:eastAsia="zh-CN"/>
        </w:rPr>
        <w:t>十</w:t>
      </w:r>
      <w:r>
        <w:rPr>
          <w:rFonts w:hint="eastAsia" w:ascii="楷体" w:hAnsi="楷体" w:eastAsia="楷体"/>
          <w:sz w:val="48"/>
          <w:szCs w:val="44"/>
        </w:rPr>
        <w:t>月</w:t>
      </w:r>
    </w:p>
    <w:p w14:paraId="4A1D2467">
      <w:pPr>
        <w:spacing w:line="360" w:lineRule="auto"/>
        <w:ind w:right="242"/>
        <w:jc w:val="center"/>
        <w:rPr>
          <w:sz w:val="32"/>
        </w:rPr>
        <w:sectPr>
          <w:headerReference r:id="rId3" w:type="default"/>
          <w:footerReference r:id="rId4" w:type="default"/>
          <w:pgSz w:w="11910" w:h="16840"/>
          <w:pgMar w:top="1480" w:right="1140" w:bottom="1162" w:left="1361" w:header="877" w:footer="1197" w:gutter="0"/>
          <w:pgNumType w:fmt="decimal"/>
          <w:cols w:space="720" w:num="1"/>
        </w:sectPr>
      </w:pPr>
    </w:p>
    <w:p w14:paraId="44A20232">
      <w:pPr>
        <w:spacing w:line="360" w:lineRule="auto"/>
        <w:ind w:right="242"/>
        <w:jc w:val="center"/>
        <w:rPr>
          <w:sz w:val="32"/>
        </w:rPr>
      </w:pPr>
      <w:r>
        <w:rPr>
          <w:sz w:val="32"/>
        </w:rPr>
        <w:t>报告编写说明</w:t>
      </w:r>
    </w:p>
    <w:p w14:paraId="528CF81A">
      <w:pPr>
        <w:pStyle w:val="5"/>
        <w:spacing w:line="360" w:lineRule="auto"/>
        <w:ind w:left="0"/>
        <w:rPr>
          <w:sz w:val="20"/>
        </w:rPr>
      </w:pPr>
    </w:p>
    <w:p w14:paraId="762EFEED">
      <w:pPr>
        <w:pStyle w:val="5"/>
        <w:spacing w:line="360" w:lineRule="auto"/>
        <w:ind w:left="0"/>
        <w:rPr>
          <w:sz w:val="26"/>
        </w:rPr>
      </w:pPr>
    </w:p>
    <w:p w14:paraId="638EF139">
      <w:pPr>
        <w:pStyle w:val="17"/>
        <w:numPr>
          <w:ilvl w:val="0"/>
          <w:numId w:val="1"/>
        </w:numPr>
        <w:tabs>
          <w:tab w:val="left" w:pos="480"/>
        </w:tabs>
        <w:spacing w:before="0" w:line="360" w:lineRule="auto"/>
        <w:jc w:val="both"/>
        <w:rPr>
          <w:sz w:val="24"/>
        </w:rPr>
      </w:pPr>
      <w:r>
        <w:rPr>
          <w:sz w:val="24"/>
        </w:rPr>
        <w:t>报告简介</w:t>
      </w:r>
    </w:p>
    <w:p w14:paraId="24E7889C">
      <w:pPr>
        <w:pStyle w:val="5"/>
        <w:spacing w:line="360" w:lineRule="auto"/>
        <w:ind w:left="121" w:leftChars="55"/>
        <w:rPr>
          <w:lang w:val="en-US"/>
        </w:rPr>
      </w:pPr>
      <w:r>
        <w:t>《</w:t>
      </w:r>
      <w:r>
        <w:rPr>
          <w:rFonts w:hint="eastAsia"/>
          <w:lang w:eastAsia="zh-CN"/>
        </w:rPr>
        <w:t>浙江巨东股份有限公司</w:t>
      </w:r>
      <w:r>
        <w:t xml:space="preserve"> </w:t>
      </w:r>
      <w:r>
        <w:rPr>
          <w:rFonts w:hint="eastAsia"/>
        </w:rPr>
        <w:t>20</w:t>
      </w:r>
      <w:r>
        <w:rPr>
          <w:rFonts w:hint="eastAsia"/>
          <w:lang w:val="en-US" w:eastAsia="zh-CN"/>
        </w:rPr>
        <w:t>24</w:t>
      </w:r>
      <w:r>
        <w:t xml:space="preserve"> 年企业社会责任报告》是</w:t>
      </w:r>
      <w:r>
        <w:rPr>
          <w:rFonts w:hint="eastAsia"/>
          <w:lang w:eastAsia="zh-CN"/>
        </w:rPr>
        <w:t>浙江巨东股份有限公司</w:t>
      </w:r>
      <w:r>
        <w:rPr>
          <w:spacing w:val="-3"/>
        </w:rPr>
        <w:t>发布的第一份企业社会责任报告。报告回顾了</w:t>
      </w:r>
      <w:r>
        <w:rPr>
          <w:rFonts w:hint="eastAsia"/>
          <w:spacing w:val="-3"/>
          <w:lang w:val="en-US" w:eastAsia="zh-CN"/>
        </w:rPr>
        <w:t>巨东</w:t>
      </w:r>
      <w:r>
        <w:rPr>
          <w:rFonts w:hint="eastAsia"/>
          <w:spacing w:val="-3"/>
          <w:lang w:val="en-US"/>
        </w:rPr>
        <w:t xml:space="preserve"> </w:t>
      </w:r>
      <w:r>
        <w:t>202</w:t>
      </w:r>
      <w:r>
        <w:rPr>
          <w:rFonts w:hint="eastAsia"/>
          <w:lang w:val="en-US" w:eastAsia="zh-CN"/>
        </w:rPr>
        <w:t>4</w:t>
      </w:r>
      <w:r>
        <w:rPr>
          <w:spacing w:val="-11"/>
        </w:rPr>
        <w:t xml:space="preserve"> 年所面临的机遇</w:t>
      </w:r>
      <w:r>
        <w:t>与挑战，披露了相关的社会责任实践和绩效</w:t>
      </w:r>
      <w:r>
        <w:rPr>
          <w:rFonts w:hint="eastAsia"/>
          <w:lang w:val="en-US"/>
        </w:rPr>
        <w:t>。</w:t>
      </w:r>
    </w:p>
    <w:p w14:paraId="4BA1A1EB">
      <w:pPr>
        <w:pStyle w:val="17"/>
        <w:numPr>
          <w:ilvl w:val="0"/>
          <w:numId w:val="1"/>
        </w:numPr>
        <w:tabs>
          <w:tab w:val="left" w:pos="480"/>
        </w:tabs>
        <w:spacing w:before="0" w:line="360" w:lineRule="auto"/>
        <w:rPr>
          <w:sz w:val="24"/>
        </w:rPr>
      </w:pPr>
      <w:r>
        <w:rPr>
          <w:sz w:val="24"/>
        </w:rPr>
        <w:t>时间范围</w:t>
      </w:r>
    </w:p>
    <w:p w14:paraId="634C2485">
      <w:pPr>
        <w:pStyle w:val="5"/>
        <w:spacing w:line="360" w:lineRule="auto"/>
        <w:ind w:left="600"/>
      </w:pPr>
      <w:r>
        <w:t xml:space="preserve">报告中的 </w:t>
      </w:r>
      <w:r>
        <w:rPr>
          <w:rFonts w:hint="eastAsia"/>
        </w:rPr>
        <w:t>202</w:t>
      </w:r>
      <w:r>
        <w:rPr>
          <w:rFonts w:hint="eastAsia"/>
          <w:lang w:val="en-US" w:eastAsia="zh-CN"/>
        </w:rPr>
        <w:t>4</w:t>
      </w:r>
      <w:r>
        <w:t xml:space="preserve"> 年均指 </w:t>
      </w:r>
      <w:r>
        <w:rPr>
          <w:rFonts w:hint="eastAsia"/>
        </w:rPr>
        <w:t>202</w:t>
      </w:r>
      <w:r>
        <w:rPr>
          <w:rFonts w:hint="eastAsia"/>
          <w:lang w:val="en-US" w:eastAsia="zh-CN"/>
        </w:rPr>
        <w:t>4</w:t>
      </w:r>
      <w:r>
        <w:rPr>
          <w:rFonts w:hint="eastAsia"/>
          <w:lang w:val="en-US"/>
        </w:rPr>
        <w:t xml:space="preserve"> </w:t>
      </w:r>
      <w:r>
        <w:t>财年。</w:t>
      </w:r>
    </w:p>
    <w:p w14:paraId="5EF718E5">
      <w:pPr>
        <w:pStyle w:val="17"/>
        <w:numPr>
          <w:ilvl w:val="0"/>
          <w:numId w:val="1"/>
        </w:numPr>
        <w:tabs>
          <w:tab w:val="left" w:pos="480"/>
        </w:tabs>
        <w:spacing w:before="0" w:line="360" w:lineRule="auto"/>
        <w:jc w:val="both"/>
        <w:rPr>
          <w:sz w:val="24"/>
        </w:rPr>
      </w:pPr>
      <w:r>
        <w:rPr>
          <w:sz w:val="24"/>
        </w:rPr>
        <w:t>发布周期</w:t>
      </w:r>
    </w:p>
    <w:p w14:paraId="7669939E">
      <w:pPr>
        <w:pStyle w:val="5"/>
        <w:spacing w:line="360" w:lineRule="auto"/>
        <w:ind w:left="600"/>
      </w:pPr>
      <w:r>
        <w:t>本报告为年度报告。</w:t>
      </w:r>
    </w:p>
    <w:p w14:paraId="5B8C9832">
      <w:pPr>
        <w:pStyle w:val="17"/>
        <w:numPr>
          <w:ilvl w:val="0"/>
          <w:numId w:val="1"/>
        </w:numPr>
        <w:tabs>
          <w:tab w:val="left" w:pos="480"/>
        </w:tabs>
        <w:spacing w:before="0" w:line="360" w:lineRule="auto"/>
        <w:jc w:val="both"/>
        <w:rPr>
          <w:sz w:val="24"/>
        </w:rPr>
      </w:pPr>
      <w:r>
        <w:rPr>
          <w:sz w:val="24"/>
        </w:rPr>
        <w:t>报告范围</w:t>
      </w:r>
    </w:p>
    <w:p w14:paraId="3BF4663B">
      <w:pPr>
        <w:pStyle w:val="5"/>
        <w:spacing w:line="360" w:lineRule="auto"/>
        <w:ind w:left="600"/>
      </w:pPr>
      <w:r>
        <w:t>与</w:t>
      </w:r>
      <w:r>
        <w:rPr>
          <w:rFonts w:hint="eastAsia"/>
          <w:lang w:eastAsia="zh-CN"/>
        </w:rPr>
        <w:t>浙江巨东股份有限公司</w:t>
      </w:r>
      <w:r>
        <w:t>的业务范围一致。</w:t>
      </w:r>
    </w:p>
    <w:p w14:paraId="166944A5">
      <w:pPr>
        <w:pStyle w:val="17"/>
        <w:numPr>
          <w:ilvl w:val="0"/>
          <w:numId w:val="1"/>
        </w:numPr>
        <w:tabs>
          <w:tab w:val="left" w:pos="480"/>
        </w:tabs>
        <w:spacing w:before="0" w:line="360" w:lineRule="auto"/>
        <w:jc w:val="both"/>
        <w:rPr>
          <w:sz w:val="24"/>
        </w:rPr>
      </w:pPr>
      <w:r>
        <w:rPr>
          <w:sz w:val="24"/>
        </w:rPr>
        <w:t>数据来源</w:t>
      </w:r>
    </w:p>
    <w:p w14:paraId="64421EF6">
      <w:pPr>
        <w:pStyle w:val="5"/>
        <w:spacing w:line="360" w:lineRule="auto"/>
        <w:ind w:right="360" w:firstLine="480"/>
        <w:jc w:val="both"/>
      </w:pPr>
      <w:r>
        <w:rPr>
          <w:spacing w:val="-5"/>
        </w:rPr>
        <w:t>报告使用数据来自</w:t>
      </w:r>
      <w:r>
        <w:rPr>
          <w:rFonts w:hint="eastAsia"/>
          <w:spacing w:val="-5"/>
          <w:lang w:eastAsia="zh-CN"/>
        </w:rPr>
        <w:t>巨东</w:t>
      </w:r>
      <w:r>
        <w:rPr>
          <w:rFonts w:hint="eastAsia"/>
          <w:spacing w:val="-5"/>
        </w:rPr>
        <w:t xml:space="preserve"> </w:t>
      </w:r>
      <w:r>
        <w:rPr>
          <w:rFonts w:hint="eastAsia"/>
        </w:rPr>
        <w:t>20</w:t>
      </w:r>
      <w:r>
        <w:rPr>
          <w:rFonts w:hint="eastAsia"/>
          <w:lang w:val="en-US" w:eastAsia="zh-CN"/>
        </w:rPr>
        <w:t>24</w:t>
      </w:r>
      <w:r>
        <w:rPr>
          <w:rFonts w:hint="eastAsia"/>
          <w:lang w:val="en-US"/>
        </w:rPr>
        <w:t xml:space="preserve"> </w:t>
      </w:r>
      <w:r>
        <w:rPr>
          <w:spacing w:val="-8"/>
        </w:rPr>
        <w:t>年报，以及公司正式文件和统计报告。</w:t>
      </w:r>
      <w:r>
        <w:rPr>
          <w:spacing w:val="-14"/>
        </w:rPr>
        <w:t>部门数据由于数据统计和口径的原因，有不完善的地方。我们将在日后不断完善</w:t>
      </w:r>
      <w:r>
        <w:t>数据指标统计系统，以保证将来提供更加全面的信息。</w:t>
      </w:r>
    </w:p>
    <w:p w14:paraId="2515CFD8">
      <w:pPr>
        <w:pStyle w:val="17"/>
        <w:numPr>
          <w:ilvl w:val="0"/>
          <w:numId w:val="1"/>
        </w:numPr>
        <w:tabs>
          <w:tab w:val="left" w:pos="480"/>
        </w:tabs>
        <w:spacing w:before="0" w:line="360" w:lineRule="auto"/>
        <w:jc w:val="both"/>
        <w:rPr>
          <w:sz w:val="24"/>
        </w:rPr>
      </w:pPr>
      <w:r>
        <w:rPr>
          <w:sz w:val="24"/>
        </w:rPr>
        <w:t>指代说明</w:t>
      </w:r>
    </w:p>
    <w:p w14:paraId="6BC90CD7">
      <w:pPr>
        <w:pStyle w:val="5"/>
        <w:spacing w:line="360" w:lineRule="auto"/>
        <w:ind w:right="358" w:firstLine="480"/>
      </w:pPr>
      <w:r>
        <w:rPr>
          <w:spacing w:val="-26"/>
        </w:rPr>
        <w:t>为便于表述，报告中“公司”、“我们”、“</w:t>
      </w:r>
      <w:r>
        <w:rPr>
          <w:rFonts w:hint="eastAsia"/>
          <w:spacing w:val="-26"/>
          <w:lang w:val="en-US" w:eastAsia="zh-CN"/>
        </w:rPr>
        <w:t>巨东</w:t>
      </w:r>
      <w:r>
        <w:rPr>
          <w:spacing w:val="-26"/>
        </w:rPr>
        <w:t>”均指代</w:t>
      </w:r>
      <w:r>
        <w:rPr>
          <w:spacing w:val="-11"/>
        </w:rPr>
        <w:t>“</w:t>
      </w:r>
      <w:r>
        <w:rPr>
          <w:rFonts w:hint="eastAsia"/>
          <w:spacing w:val="-11"/>
          <w:lang w:eastAsia="zh-CN"/>
        </w:rPr>
        <w:t>浙江巨东股份有限公司</w:t>
      </w:r>
      <w:r>
        <w:rPr>
          <w:spacing w:val="-11"/>
        </w:rPr>
        <w:t>”。</w:t>
      </w:r>
    </w:p>
    <w:p w14:paraId="15CE6B8A">
      <w:pPr>
        <w:spacing w:line="360" w:lineRule="auto"/>
        <w:sectPr>
          <w:footerReference r:id="rId5" w:type="default"/>
          <w:pgSz w:w="11910" w:h="16840"/>
          <w:pgMar w:top="1420" w:right="1440" w:bottom="1380" w:left="1680" w:header="877" w:footer="1197" w:gutter="0"/>
          <w:pgNumType w:fmt="decimal" w:start="1"/>
          <w:cols w:space="720" w:num="1"/>
        </w:sectPr>
      </w:pPr>
    </w:p>
    <w:p w14:paraId="78E8A132">
      <w:pPr>
        <w:pStyle w:val="5"/>
        <w:spacing w:line="360" w:lineRule="auto"/>
        <w:ind w:left="0"/>
        <w:rPr>
          <w:sz w:val="19"/>
        </w:rPr>
      </w:pPr>
    </w:p>
    <w:p w14:paraId="58FE40F7">
      <w:pPr>
        <w:pStyle w:val="3"/>
        <w:tabs>
          <w:tab w:val="left" w:pos="724"/>
        </w:tabs>
        <w:spacing w:line="360" w:lineRule="auto"/>
      </w:pPr>
    </w:p>
    <w:sdt>
      <w:sdtPr>
        <w:rPr>
          <w:rFonts w:ascii="宋体" w:hAnsi="宋体" w:eastAsia="宋体" w:cs="宋体"/>
          <w:color w:val="auto"/>
          <w:sz w:val="22"/>
          <w:szCs w:val="22"/>
          <w:lang w:val="zh-CN" w:bidi="zh-CN"/>
        </w:rPr>
        <w:id w:val="1619027494"/>
        <w:docPartObj>
          <w:docPartGallery w:val="Table of Contents"/>
          <w:docPartUnique/>
        </w:docPartObj>
      </w:sdtPr>
      <w:sdtEndPr>
        <w:rPr>
          <w:rFonts w:ascii="宋体" w:hAnsi="宋体" w:eastAsia="宋体" w:cs="宋体"/>
          <w:b/>
          <w:bCs/>
          <w:color w:val="auto"/>
          <w:sz w:val="22"/>
          <w:szCs w:val="22"/>
          <w:lang w:val="zh-CN" w:bidi="zh-CN"/>
        </w:rPr>
      </w:sdtEndPr>
      <w:sdtContent>
        <w:p w14:paraId="5A48FC72">
          <w:pPr>
            <w:pStyle w:val="22"/>
            <w:spacing w:before="0" w:line="360" w:lineRule="auto"/>
            <w:jc w:val="center"/>
            <w:rPr>
              <w:color w:val="auto"/>
            </w:rPr>
          </w:pPr>
          <w:r>
            <w:rPr>
              <w:color w:val="auto"/>
              <w:lang w:val="zh-CN"/>
            </w:rPr>
            <w:t>目录</w:t>
          </w:r>
        </w:p>
        <w:p w14:paraId="2C421BCE">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TOC \o "1-3" \h \z \u </w:instrText>
          </w:r>
          <w:r>
            <w:fldChar w:fldCharType="separate"/>
          </w:r>
          <w:r>
            <w:fldChar w:fldCharType="begin"/>
          </w:r>
          <w:r>
            <w:instrText xml:space="preserve"> HYPERLINK \l "_Toc81224778" </w:instrText>
          </w:r>
          <w:r>
            <w:fldChar w:fldCharType="separate"/>
          </w:r>
          <w:r>
            <w:rPr>
              <w:rStyle w:val="13"/>
            </w:rPr>
            <w:t>公司概况</w:t>
          </w:r>
          <w:r>
            <w:tab/>
          </w:r>
          <w:r>
            <w:fldChar w:fldCharType="begin"/>
          </w:r>
          <w:r>
            <w:instrText xml:space="preserve"> PAGEREF _Toc81224778 \h </w:instrText>
          </w:r>
          <w:r>
            <w:fldChar w:fldCharType="separate"/>
          </w:r>
          <w:r>
            <w:t>3</w:t>
          </w:r>
          <w:r>
            <w:fldChar w:fldCharType="end"/>
          </w:r>
          <w:r>
            <w:fldChar w:fldCharType="end"/>
          </w:r>
        </w:p>
        <w:p w14:paraId="1E51592B">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"_Toc81224779" </w:instrText>
          </w:r>
          <w:r>
            <w:fldChar w:fldCharType="separate"/>
          </w:r>
          <w:r>
            <w:rPr>
              <w:rStyle w:val="13"/>
            </w:rPr>
            <w:t>一、责任聚焦</w:t>
          </w:r>
          <w:r>
            <w:tab/>
          </w:r>
          <w:r>
            <w:rPr>
              <w:rFonts w:hint="eastAsia"/>
              <w:lang w:val="en-US" w:eastAsia="zh-CN"/>
            </w:rPr>
            <w:t>3</w:t>
          </w:r>
          <w:r>
            <w:fldChar w:fldCharType="end"/>
          </w:r>
        </w:p>
        <w:p w14:paraId="316C64E0">
          <w:pPr>
            <w:pStyle w:val="8"/>
            <w:tabs>
              <w:tab w:val="right" w:leader="dot" w:pos="8780"/>
            </w:tabs>
            <w:rPr>
              <w:rFonts w:hint="eastAsia" w:eastAsia="宋体" w:asciiTheme="minorHAnsi" w:hAnsiTheme="minorHAnsi" w:cstheme="minorBidi"/>
              <w:kern w:val="2"/>
              <w:sz w:val="21"/>
              <w:szCs w:val="22"/>
              <w:lang w:val="en-US" w:eastAsia="zh-CN" w:bidi="ar-SA"/>
            </w:rPr>
          </w:pPr>
          <w:r>
            <w:fldChar w:fldCharType="begin"/>
          </w:r>
          <w:r>
            <w:instrText xml:space="preserve"> HYPERLINK \l "_Toc81224780" </w:instrText>
          </w:r>
          <w:r>
            <w:fldChar w:fldCharType="separate"/>
          </w:r>
          <w:r>
            <w:rPr>
              <w:rStyle w:val="13"/>
            </w:rPr>
            <w:t>二、战略与管理</w:t>
          </w:r>
          <w:r>
            <w:tab/>
          </w:r>
          <w:r>
            <w:rPr>
              <w:rFonts w:hint="eastAsia"/>
              <w:lang w:val="en-US" w:eastAsia="zh-CN"/>
            </w:rPr>
            <w:t>5</w:t>
          </w:r>
          <w:r>
            <w:fldChar w:fldCharType="end"/>
          </w:r>
        </w:p>
        <w:p w14:paraId="43C8D44A">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"_Toc81224781" </w:instrText>
          </w:r>
          <w:r>
            <w:fldChar w:fldCharType="separate"/>
          </w:r>
          <w:r>
            <w:rPr>
              <w:rStyle w:val="13"/>
            </w:rPr>
            <w:t>三、守法合规</w:t>
          </w:r>
          <w:r>
            <w:tab/>
          </w:r>
          <w:r>
            <w:fldChar w:fldCharType="begin"/>
          </w:r>
          <w:r>
            <w:instrText xml:space="preserve"> PAGEREF _Toc81224781 \h </w:instrText>
          </w:r>
          <w:r>
            <w:fldChar w:fldCharType="separate"/>
          </w:r>
          <w:r>
            <w:t>1</w:t>
          </w:r>
          <w:r>
            <w:rPr>
              <w:rFonts w:hint="eastAsia"/>
              <w:lang w:val="en-US" w:eastAsia="zh-CN"/>
            </w:rPr>
            <w:t>5</w:t>
          </w:r>
          <w:r>
            <w:fldChar w:fldCharType="end"/>
          </w:r>
          <w:r>
            <w:fldChar w:fldCharType="end"/>
          </w:r>
        </w:p>
        <w:p w14:paraId="15577A6F">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"_Toc81224782" </w:instrText>
          </w:r>
          <w:r>
            <w:fldChar w:fldCharType="separate"/>
          </w:r>
          <w:r>
            <w:rPr>
              <w:rStyle w:val="13"/>
            </w:rPr>
            <w:t>四、回报股东</w:t>
          </w:r>
          <w:r>
            <w:tab/>
          </w:r>
          <w:r>
            <w:fldChar w:fldCharType="begin"/>
          </w:r>
          <w:r>
            <w:instrText xml:space="preserve"> PAGEREF _Toc81224782 \h </w:instrText>
          </w:r>
          <w:r>
            <w:fldChar w:fldCharType="separate"/>
          </w:r>
          <w:r>
            <w:t>1</w:t>
          </w:r>
          <w:r>
            <w:rPr>
              <w:rFonts w:hint="eastAsia"/>
              <w:lang w:val="en-US" w:eastAsia="zh-CN"/>
            </w:rPr>
            <w:t>6</w:t>
          </w:r>
          <w:r>
            <w:fldChar w:fldCharType="end"/>
          </w:r>
          <w:r>
            <w:fldChar w:fldCharType="end"/>
          </w:r>
        </w:p>
        <w:p w14:paraId="712B37F7">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"_Toc81224783" </w:instrText>
          </w:r>
          <w:r>
            <w:fldChar w:fldCharType="separate"/>
          </w:r>
          <w:r>
            <w:rPr>
              <w:rStyle w:val="13"/>
            </w:rPr>
            <w:t>五、服务客户</w:t>
          </w:r>
          <w:r>
            <w:tab/>
          </w:r>
          <w:r>
            <w:fldChar w:fldCharType="begin"/>
          </w:r>
          <w:r>
            <w:instrText xml:space="preserve"> PAGEREF _Toc81224783 \h </w:instrText>
          </w:r>
          <w:r>
            <w:fldChar w:fldCharType="separate"/>
          </w:r>
          <w:r>
            <w:t>1</w:t>
          </w:r>
          <w:r>
            <w:rPr>
              <w:rFonts w:hint="eastAsia"/>
              <w:lang w:val="en-US" w:eastAsia="zh-CN"/>
            </w:rPr>
            <w:t>6</w:t>
          </w:r>
          <w:r>
            <w:fldChar w:fldCharType="end"/>
          </w:r>
          <w:r>
            <w:fldChar w:fldCharType="end"/>
          </w:r>
        </w:p>
        <w:p w14:paraId="2B838DD6">
          <w:pPr>
            <w:pStyle w:val="8"/>
            <w:tabs>
              <w:tab w:val="right" w:leader="dot" w:pos="8780"/>
            </w:tabs>
            <w:rPr>
              <w:rFonts w:hint="eastAsia" w:eastAsia="宋体" w:asciiTheme="minorHAnsi" w:hAnsiTheme="minorHAnsi" w:cstheme="minorBidi"/>
              <w:kern w:val="2"/>
              <w:sz w:val="21"/>
              <w:szCs w:val="22"/>
              <w:lang w:val="en-US" w:eastAsia="zh-CN" w:bidi="ar-SA"/>
            </w:rPr>
          </w:pPr>
          <w:r>
            <w:fldChar w:fldCharType="begin"/>
          </w:r>
          <w:r>
            <w:instrText xml:space="preserve"> HYPERLINK \l "_Toc81224784" </w:instrText>
          </w:r>
          <w:r>
            <w:fldChar w:fldCharType="separate"/>
          </w:r>
          <w:r>
            <w:rPr>
              <w:rStyle w:val="13"/>
            </w:rPr>
            <w:t>六、造福员工</w:t>
          </w:r>
          <w:r>
            <w:tab/>
          </w:r>
          <w:r>
            <w:rPr>
              <w:rFonts w:hint="eastAsia"/>
              <w:lang w:val="en-US" w:eastAsia="zh-CN"/>
            </w:rPr>
            <w:t>1</w:t>
          </w:r>
          <w:r>
            <w:fldChar w:fldCharType="end"/>
          </w:r>
          <w:r>
            <w:rPr>
              <w:rFonts w:hint="eastAsia"/>
              <w:lang w:val="en-US" w:eastAsia="zh-CN"/>
            </w:rPr>
            <w:t>7</w:t>
          </w:r>
        </w:p>
        <w:p w14:paraId="69C73C41">
          <w:pPr>
            <w:pStyle w:val="8"/>
            <w:tabs>
              <w:tab w:val="right" w:leader="dot" w:pos="8780"/>
            </w:tabs>
            <w:rPr>
              <w:rFonts w:hint="eastAsia" w:eastAsia="宋体" w:asciiTheme="minorHAnsi" w:hAnsiTheme="minorHAnsi" w:cstheme="minorBidi"/>
              <w:kern w:val="2"/>
              <w:sz w:val="21"/>
              <w:szCs w:val="22"/>
              <w:lang w:val="en-US" w:eastAsia="zh-CN" w:bidi="ar-SA"/>
            </w:rPr>
          </w:pPr>
          <w:r>
            <w:fldChar w:fldCharType="begin"/>
          </w:r>
          <w:r>
            <w:instrText xml:space="preserve"> HYPERLINK \l "_Toc81224785" </w:instrText>
          </w:r>
          <w:r>
            <w:fldChar w:fldCharType="separate"/>
          </w:r>
          <w:r>
            <w:rPr>
              <w:rStyle w:val="13"/>
            </w:rPr>
            <w:t>七、奉献社会</w:t>
          </w:r>
          <w:r>
            <w:tab/>
          </w:r>
          <w:r>
            <w:rPr>
              <w:rFonts w:hint="eastAsia"/>
              <w:lang w:val="en-US" w:eastAsia="zh-CN"/>
            </w:rPr>
            <w:t>2</w:t>
          </w:r>
          <w:r>
            <w:fldChar w:fldCharType="end"/>
          </w:r>
          <w:r>
            <w:rPr>
              <w:rFonts w:hint="eastAsia"/>
              <w:lang w:val="en-US" w:eastAsia="zh-CN"/>
            </w:rPr>
            <w:t>1</w:t>
          </w:r>
        </w:p>
        <w:p w14:paraId="208434CB">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"_Toc81224786" </w:instrText>
          </w:r>
          <w:r>
            <w:fldChar w:fldCharType="separate"/>
          </w:r>
          <w:r>
            <w:rPr>
              <w:rStyle w:val="13"/>
              <w:spacing w:val="-1"/>
            </w:rPr>
            <w:t>八、合作伙伴</w:t>
          </w:r>
          <w:r>
            <w:tab/>
          </w:r>
          <w:r>
            <w:fldChar w:fldCharType="begin"/>
          </w:r>
          <w:r>
            <w:instrText xml:space="preserve"> PAGEREF _Toc81224786 \h </w:instrText>
          </w:r>
          <w:r>
            <w:fldChar w:fldCharType="separate"/>
          </w:r>
          <w:r>
            <w:t>2</w:t>
          </w:r>
          <w:r>
            <w:rPr>
              <w:rFonts w:hint="eastAsia"/>
              <w:lang w:val="en-US" w:eastAsia="zh-CN"/>
            </w:rPr>
            <w:t>2</w:t>
          </w:r>
          <w:r>
            <w:fldChar w:fldCharType="end"/>
          </w:r>
          <w:r>
            <w:fldChar w:fldCharType="end"/>
          </w:r>
        </w:p>
        <w:p w14:paraId="3BF963A0">
          <w:pPr>
            <w:pStyle w:val="8"/>
            <w:tabs>
              <w:tab w:val="right" w:leader="dot" w:pos="8780"/>
            </w:tabs>
            <w:rPr>
              <w:rFonts w:asciiTheme="minorHAnsi" w:hAnsiTheme="minorHAnsi" w:eastAsiaTheme="minorEastAsia" w:cstheme="minorBidi"/>
              <w:kern w:val="2"/>
              <w:sz w:val="21"/>
              <w:szCs w:val="22"/>
              <w:lang w:val="en-US" w:bidi="ar-SA"/>
            </w:rPr>
          </w:pPr>
          <w:r>
            <w:fldChar w:fldCharType="begin"/>
          </w:r>
          <w:r>
            <w:instrText xml:space="preserve"> HYPERLINK \l "_Toc81224787" </w:instrText>
          </w:r>
          <w:r>
            <w:fldChar w:fldCharType="separate"/>
          </w:r>
          <w:r>
            <w:rPr>
              <w:rStyle w:val="13"/>
            </w:rPr>
            <w:t>九、存在问题及改进</w:t>
          </w:r>
          <w:r>
            <w:tab/>
          </w:r>
          <w:r>
            <w:fldChar w:fldCharType="begin"/>
          </w:r>
          <w:r>
            <w:instrText xml:space="preserve"> PAGEREF _Toc81224787 \h </w:instrText>
          </w:r>
          <w:r>
            <w:fldChar w:fldCharType="separate"/>
          </w:r>
          <w:r>
            <w:t>2</w:t>
          </w:r>
          <w:r>
            <w:rPr>
              <w:rFonts w:hint="eastAsia"/>
              <w:lang w:val="en-US" w:eastAsia="zh-CN"/>
            </w:rPr>
            <w:t>3</w:t>
          </w:r>
          <w:r>
            <w:fldChar w:fldCharType="end"/>
          </w:r>
          <w:r>
            <w:fldChar w:fldCharType="end"/>
          </w:r>
        </w:p>
        <w:p w14:paraId="472E9B7C">
          <w:pPr>
            <w:spacing w:line="360" w:lineRule="auto"/>
          </w:pPr>
          <w:r>
            <w:rPr>
              <w:b/>
              <w:bCs/>
            </w:rPr>
            <w:fldChar w:fldCharType="end"/>
          </w:r>
        </w:p>
      </w:sdtContent>
    </w:sdt>
    <w:p w14:paraId="05B4310C">
      <w:pPr>
        <w:pStyle w:val="2"/>
        <w:spacing w:line="360" w:lineRule="auto"/>
        <w:ind w:left="0" w:right="235"/>
        <w:jc w:val="center"/>
      </w:pPr>
    </w:p>
    <w:p w14:paraId="0EF7C545">
      <w:pPr>
        <w:pStyle w:val="2"/>
        <w:spacing w:line="360" w:lineRule="auto"/>
        <w:ind w:left="0" w:right="235"/>
        <w:jc w:val="center"/>
      </w:pPr>
    </w:p>
    <w:p w14:paraId="72FE58A9">
      <w:pPr>
        <w:pStyle w:val="2"/>
        <w:spacing w:line="360" w:lineRule="auto"/>
        <w:ind w:left="0" w:right="235"/>
        <w:jc w:val="center"/>
      </w:pPr>
    </w:p>
    <w:p w14:paraId="07FE0FAD">
      <w:pPr>
        <w:pStyle w:val="2"/>
        <w:spacing w:line="360" w:lineRule="auto"/>
        <w:ind w:left="0" w:right="235"/>
        <w:jc w:val="center"/>
      </w:pPr>
    </w:p>
    <w:p w14:paraId="0510FCA1">
      <w:pPr>
        <w:pStyle w:val="2"/>
        <w:spacing w:line="360" w:lineRule="auto"/>
        <w:ind w:left="0" w:right="235"/>
        <w:jc w:val="center"/>
      </w:pPr>
    </w:p>
    <w:p w14:paraId="19C03FA1">
      <w:pPr>
        <w:pStyle w:val="2"/>
        <w:spacing w:line="360" w:lineRule="auto"/>
        <w:ind w:left="0" w:right="235"/>
        <w:jc w:val="center"/>
      </w:pPr>
    </w:p>
    <w:p w14:paraId="69913AE0">
      <w:pPr>
        <w:pStyle w:val="2"/>
        <w:spacing w:line="360" w:lineRule="auto"/>
        <w:ind w:left="0" w:right="235"/>
        <w:jc w:val="center"/>
      </w:pPr>
    </w:p>
    <w:p w14:paraId="2FF7A076">
      <w:pPr>
        <w:pStyle w:val="2"/>
        <w:spacing w:line="360" w:lineRule="auto"/>
        <w:ind w:left="0" w:right="235"/>
        <w:jc w:val="center"/>
      </w:pPr>
    </w:p>
    <w:p w14:paraId="5913057B">
      <w:pPr>
        <w:pStyle w:val="2"/>
        <w:spacing w:line="360" w:lineRule="auto"/>
        <w:ind w:left="0" w:right="235"/>
        <w:jc w:val="center"/>
      </w:pPr>
    </w:p>
    <w:p w14:paraId="3D6D8172">
      <w:pPr>
        <w:pStyle w:val="2"/>
        <w:spacing w:line="360" w:lineRule="auto"/>
        <w:ind w:left="0" w:right="235"/>
        <w:jc w:val="center"/>
      </w:pPr>
    </w:p>
    <w:p w14:paraId="16D49C4A">
      <w:pPr>
        <w:spacing w:line="360" w:lineRule="auto"/>
      </w:pPr>
    </w:p>
    <w:p w14:paraId="5D7810AA">
      <w:pPr>
        <w:pStyle w:val="2"/>
        <w:spacing w:line="360" w:lineRule="auto"/>
        <w:ind w:left="0" w:right="235"/>
        <w:jc w:val="center"/>
        <w:rPr>
          <w:b/>
          <w:bCs/>
        </w:rPr>
      </w:pPr>
      <w:bookmarkStart w:id="0" w:name="_Toc81224778"/>
      <w:r>
        <w:rPr>
          <w:b/>
          <w:bCs/>
        </w:rPr>
        <w:t>公司概况</w:t>
      </w:r>
      <w:bookmarkEnd w:id="0"/>
    </w:p>
    <w:p w14:paraId="43A9CCA4">
      <w:pPr>
        <w:pStyle w:val="9"/>
        <w:spacing w:before="0" w:beforeAutospacing="0" w:after="0" w:afterAutospacing="0"/>
        <w:ind w:firstLine="480" w:firstLineChars="200"/>
        <w:rPr>
          <w:rFonts w:cs="宋体"/>
        </w:rPr>
      </w:pPr>
      <w:r>
        <w:rPr>
          <w:rFonts w:hint="eastAsia" w:cs="宋体"/>
          <w:lang w:eastAsia="zh-CN"/>
        </w:rPr>
        <w:t xml:space="preserve">浙江巨东股份有限公司,成立于 2009 年，注册资金 2.1 亿元，占地面积 </w:t>
      </w:r>
      <w:r>
        <w:rPr>
          <w:rFonts w:hint="eastAsia" w:cs="宋体"/>
          <w:lang w:val="en-US" w:eastAsia="zh-CN"/>
        </w:rPr>
        <w:t>1100</w:t>
      </w:r>
      <w:r>
        <w:rPr>
          <w:rFonts w:hint="eastAsia" w:cs="宋体"/>
          <w:lang w:eastAsia="zh-CN"/>
        </w:rPr>
        <w:t xml:space="preserve"> 亩，总投资近 </w:t>
      </w:r>
      <w:r>
        <w:rPr>
          <w:rFonts w:hint="eastAsia" w:cs="宋体"/>
          <w:lang w:val="en-US" w:eastAsia="zh-CN"/>
        </w:rPr>
        <w:t>5</w:t>
      </w:r>
      <w:r>
        <w:rPr>
          <w:rFonts w:hint="eastAsia" w:cs="宋体"/>
          <w:lang w:eastAsia="zh-CN"/>
        </w:rPr>
        <w:t>0 亿元，拥有 11 家控股子公司，是一家专业从事再生资源综合利用的龙头企业。2015 年，公司在新三板挂牌上市（股票 代码：834815）。巨东人以极大的热情致力于创造和实现富有活力的企业管理模式，致力于循环经济产业链的开发和创新，延伸产业链，提高再生产品附加值。近年来，公司先后获得国家、省、市多项殊荣，公司被中国科技部评定为废电线电缆、废五金拆解利用成套设备开发示范单位，被浙江经信委与环保厅评定为浙江省绿色企业，被浙江省工商局评为 AAA 守 信用企业，被台州市市委市政府评为台州市模范集体，台州市优秀企业，并被市委市政府列入“航母企业”和“2211 工程”的培育对象等。公司还是中国再生资源产业技术创新战略联盟理事单位，积极参与中国有色金属标准化技术委员会关于《再生铜原料》等三项国家标准征求意见的研讨活动，为国家发展可持续绿色循环经济贡献力量。</w:t>
      </w:r>
      <w:r>
        <w:rPr>
          <w:rFonts w:hint="eastAsia" w:cs="宋体"/>
          <w:lang w:val="en-US" w:eastAsia="zh-CN"/>
        </w:rPr>
        <w:t>公</w:t>
      </w:r>
      <w:r>
        <w:rPr>
          <w:rFonts w:hint="eastAsia" w:cs="宋体"/>
          <w:lang w:eastAsia="zh-CN"/>
        </w:rPr>
        <w:t>司秉承“珍惜资源、变废为宝、贡献社会、创新管理、提高效益、不忘环保”的经营方针，本着“推进转型升级，发展循环经济”的价值理念，致力于废弃资源综合利用，提高再生产品附加值，为实现再生资源循环经济发展和国家生态文明建设，贡献自己的力量。</w:t>
      </w:r>
    </w:p>
    <w:p w14:paraId="65AC8281">
      <w:pPr>
        <w:pStyle w:val="2"/>
        <w:spacing w:line="360" w:lineRule="auto"/>
      </w:pPr>
      <w:bookmarkStart w:id="1" w:name="一、责任聚焦"/>
      <w:bookmarkEnd w:id="1"/>
      <w:bookmarkStart w:id="2" w:name="_Toc81224779"/>
      <w:r>
        <w:t>一、责任聚焦</w:t>
      </w:r>
      <w:bookmarkEnd w:id="2"/>
    </w:p>
    <w:p w14:paraId="05E58FA4">
      <w:pPr>
        <w:pStyle w:val="5"/>
        <w:spacing w:line="360" w:lineRule="auto"/>
        <w:ind w:right="240" w:firstLine="480"/>
      </w:pPr>
      <w:r>
        <w:rPr>
          <w:spacing w:val="-1"/>
        </w:rPr>
        <w:t>一个企业最大的社会责任，就是要让公司健康发展，为社会创造更多价值。</w:t>
      </w:r>
      <w:r>
        <w:rPr>
          <w:spacing w:val="-6"/>
        </w:rPr>
        <w:t>一家成功的公司会解决就业、缴税、员工福利、环境保护等问题，同时为政府纳税，政府税收又会通过多种方式完成相应的社会责任。</w:t>
      </w:r>
    </w:p>
    <w:p w14:paraId="5AF0FE15">
      <w:pPr>
        <w:pStyle w:val="17"/>
        <w:numPr>
          <w:ilvl w:val="1"/>
          <w:numId w:val="2"/>
        </w:numPr>
        <w:tabs>
          <w:tab w:val="left" w:pos="600"/>
        </w:tabs>
        <w:spacing w:before="0" w:line="360" w:lineRule="auto"/>
        <w:rPr>
          <w:sz w:val="24"/>
        </w:rPr>
      </w:pPr>
      <w:r>
        <w:rPr>
          <w:sz w:val="24"/>
        </w:rPr>
        <w:t>社会责任观</w:t>
      </w:r>
    </w:p>
    <w:p w14:paraId="7351BE5E">
      <w:pPr>
        <w:pStyle w:val="5"/>
        <w:spacing w:line="360" w:lineRule="auto"/>
        <w:ind w:right="359" w:firstLine="480"/>
        <w:jc w:val="both"/>
      </w:pPr>
      <w:r>
        <w:rPr>
          <w:spacing w:val="-9"/>
        </w:rPr>
        <w:t>随着全球化经济的不断发展，可持续发展的理念已经成为许多国际型企业发展战略的核心。支持社会公益事业，倡导社会环境的可持续发展，做负社会责任</w:t>
      </w:r>
      <w:r>
        <w:rPr>
          <w:spacing w:val="-10"/>
        </w:rPr>
        <w:t>的企业公民，已成为企业公共关系的重要主题。在企业发展的过程中，我们逐渐认识到，公共关系策略不再是简单地运用产品进行促销，基于传统营销传播观念</w:t>
      </w:r>
      <w:r>
        <w:rPr>
          <w:spacing w:val="-5"/>
        </w:rPr>
        <w:t>的公共关系已经远远不能适应时代潮流以及公众对环保的需要，取而代之的应该</w:t>
      </w:r>
      <w:r>
        <w:rPr>
          <w:spacing w:val="-7"/>
        </w:rPr>
        <w:t>是企业对社会责任的承诺与行动，它们不但应该融入企业的发展战略，而且应成</w:t>
      </w:r>
      <w:r>
        <w:rPr>
          <w:spacing w:val="-6"/>
        </w:rPr>
        <w:t>为公共关系传播的出发点和着眼点。于是我们始终</w:t>
      </w:r>
      <w:r>
        <w:rPr>
          <w:rFonts w:hint="eastAsia"/>
          <w:spacing w:val="-6"/>
        </w:rPr>
        <w:t>公司秉承“珍惜资源、变废为宝、贡献社会、创新管理、提高效益、不忘环保”的经营方针</w:t>
      </w:r>
      <w:r>
        <w:t>，视为企业发展战略的精髓，视为企业文化的核心基石。</w:t>
      </w:r>
    </w:p>
    <w:p w14:paraId="5B87268D">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spacing w:val="-7"/>
        </w:rPr>
      </w:pPr>
      <w:r>
        <w:rPr>
          <w:spacing w:val="-7"/>
        </w:rPr>
        <w:t>企业社会责任不是口号，我们创立之初就确定我们是一个价值观公司，没有</w:t>
      </w:r>
      <w:r>
        <w:rPr>
          <w:spacing w:val="-12"/>
        </w:rPr>
        <w:t>历史，社会责任是无根的；没有对未来的承诺，社会责任是短命的。</w:t>
      </w:r>
      <w:r>
        <w:rPr>
          <w:rFonts w:hint="eastAsia"/>
          <w:spacing w:val="-12"/>
        </w:rPr>
        <w:t>通过十</w:t>
      </w:r>
      <w:r>
        <w:rPr>
          <w:rFonts w:hint="eastAsia"/>
          <w:spacing w:val="-7"/>
        </w:rPr>
        <w:t>年的创业发展，巨东在历次重大转折时期有幸得到各地各级政府领导、广大客户及各界人士一如既往的关心和始终如一的期望。正是这种关心和期望成为巨东人自强不息、拼搏到底的精神力量。</w:t>
      </w:r>
    </w:p>
    <w:p w14:paraId="65D26A3B">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spacing w:val="-7"/>
        </w:rPr>
      </w:pPr>
      <w:r>
        <w:rPr>
          <w:rFonts w:hint="eastAsia"/>
          <w:spacing w:val="-7"/>
          <w:lang w:val="en-US" w:eastAsia="zh-CN"/>
        </w:rPr>
        <w:t>1）</w:t>
      </w:r>
      <w:r>
        <w:rPr>
          <w:rFonts w:hint="eastAsia"/>
          <w:spacing w:val="-7"/>
        </w:rPr>
        <w:t>十年创业、十年求索、十年风雨、十年收获。</w:t>
      </w:r>
    </w:p>
    <w:p w14:paraId="0056ED33">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spacing w:val="-7"/>
        </w:rPr>
      </w:pPr>
      <w:r>
        <w:rPr>
          <w:rFonts w:hint="eastAsia"/>
          <w:spacing w:val="-7"/>
        </w:rPr>
        <w:t>经历从无到有、从小到大、从弱到强的发展，巨东已从我的个人事业变成一项社会的事业，行业的指向标。在此期间，巨东在各界人士的帮助下，充分利用政府支持民营企业发展的各项优惠政策，公司各项事业蒸蒸日上，巨东人以极大的热情致力于创造和实现富有活力的企业管理模式，致力于循环经济产业链的开发和创新，延伸产业链，提高再生产品附加值。另外，值得一提的是，在与各界人士的交流交往中，巨东学习和借鉴了很多成功企业的经营管理经验，成为巨东继续做大做强的知识财富。</w:t>
      </w:r>
    </w:p>
    <w:p w14:paraId="3791D920">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spacing w:val="-7"/>
        </w:rPr>
      </w:pPr>
      <w:r>
        <w:rPr>
          <w:rFonts w:hint="eastAsia"/>
          <w:spacing w:val="-7"/>
          <w:lang w:val="en-US" w:eastAsia="zh-CN"/>
        </w:rPr>
        <w:t>2）</w:t>
      </w:r>
      <w:r>
        <w:rPr>
          <w:rFonts w:hint="eastAsia"/>
          <w:spacing w:val="-7"/>
        </w:rPr>
        <w:t>顺天下势，聚天下士，集天下智，成天下事！</w:t>
      </w:r>
    </w:p>
    <w:p w14:paraId="578E8D8A">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rFonts w:hint="eastAsia"/>
          <w:spacing w:val="-7"/>
        </w:rPr>
      </w:pPr>
      <w:r>
        <w:rPr>
          <w:rFonts w:hint="eastAsia"/>
          <w:spacing w:val="-7"/>
        </w:rPr>
        <w:t>在发展壮大巨东的道路上 ，我有幸与一大批志同道合的同事互敬互勉，把艰辛的事业演绎成创造性的工作，把平凡的工作机积淀成宏伟的业绩。同事们的努力成就了巨东的企业文化，成为巨东发展的脊梁，也是巨东在新常态经济条件下取得更大发展的新希望。</w:t>
      </w:r>
    </w:p>
    <w:p w14:paraId="0AF0B5EC">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rPr>
          <w:spacing w:val="-7"/>
        </w:rPr>
      </w:pPr>
      <w:r>
        <w:rPr>
          <w:rFonts w:hint="eastAsia"/>
          <w:spacing w:val="-7"/>
          <w:lang w:val="en-US" w:eastAsia="zh-CN"/>
        </w:rPr>
        <w:t>3）</w:t>
      </w:r>
      <w:r>
        <w:rPr>
          <w:rFonts w:hint="eastAsia"/>
          <w:spacing w:val="-7"/>
        </w:rPr>
        <w:t>十年磨一剑，挥戈正当时。</w:t>
      </w:r>
    </w:p>
    <w:p w14:paraId="15B15408">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pPr>
      <w:r>
        <w:rPr>
          <w:rFonts w:hint="eastAsia"/>
          <w:spacing w:val="-7"/>
        </w:rPr>
        <w:t>展望未来，我和我的同事们继续坚持以企业为平台，秉承“珍惜资源，变废为宝，贡献社会，创新管理，提高效益，不忘环保”的经营理念，坚持“推进转型升级，发展循环经济，严格控制三废，保护生态环境，管理科学化，环保规范化，数据准确化”的经营方针，用巨东的不断壮大来回报员工、感恩家人、回馈社会，实现自我价值，创造更多的社会价值。</w:t>
      </w:r>
    </w:p>
    <w:p w14:paraId="35C1F0B4">
      <w:pPr>
        <w:pStyle w:val="17"/>
        <w:numPr>
          <w:ilvl w:val="1"/>
          <w:numId w:val="2"/>
        </w:numPr>
        <w:tabs>
          <w:tab w:val="left" w:pos="600"/>
        </w:tabs>
        <w:spacing w:before="0" w:line="360" w:lineRule="auto"/>
        <w:ind w:hanging="481"/>
        <w:rPr>
          <w:sz w:val="24"/>
        </w:rPr>
      </w:pPr>
      <w:r>
        <w:rPr>
          <w:sz w:val="24"/>
        </w:rPr>
        <w:t>利益相关方</w:t>
      </w:r>
    </w:p>
    <w:tbl>
      <w:tblPr>
        <w:tblStyle w:val="11"/>
        <w:tblW w:w="0" w:type="auto"/>
        <w:tblInd w:w="6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6630"/>
      </w:tblGrid>
      <w:tr w14:paraId="35B8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23D25B4B">
            <w:pPr>
              <w:pStyle w:val="17"/>
              <w:tabs>
                <w:tab w:val="left" w:pos="600"/>
              </w:tabs>
              <w:spacing w:before="0" w:line="360" w:lineRule="auto"/>
              <w:ind w:left="0" w:firstLine="0"/>
              <w:jc w:val="both"/>
              <w:rPr>
                <w:rFonts w:hint="eastAsia"/>
                <w:sz w:val="24"/>
              </w:rPr>
            </w:pPr>
            <w:r>
              <w:rPr>
                <w:sz w:val="24"/>
              </w:rPr>
              <w:t>利益相关方</w:t>
            </w:r>
          </w:p>
        </w:tc>
        <w:tc>
          <w:tcPr>
            <w:tcW w:w="6630" w:type="dxa"/>
            <w:vAlign w:val="center"/>
          </w:tcPr>
          <w:p w14:paraId="31DFB83F">
            <w:pPr>
              <w:pStyle w:val="17"/>
              <w:tabs>
                <w:tab w:val="left" w:pos="600"/>
              </w:tabs>
              <w:spacing w:before="0" w:line="360" w:lineRule="auto"/>
              <w:ind w:left="0" w:firstLine="0"/>
              <w:jc w:val="both"/>
              <w:rPr>
                <w:rFonts w:hint="eastAsia"/>
                <w:sz w:val="24"/>
              </w:rPr>
            </w:pPr>
            <w:r>
              <w:rPr>
                <w:sz w:val="24"/>
              </w:rPr>
              <w:t>责任与举措</w:t>
            </w:r>
          </w:p>
        </w:tc>
      </w:tr>
      <w:tr w14:paraId="002D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660CD046">
            <w:pPr>
              <w:pStyle w:val="17"/>
              <w:tabs>
                <w:tab w:val="left" w:pos="600"/>
              </w:tabs>
              <w:spacing w:before="0" w:line="360" w:lineRule="auto"/>
              <w:ind w:left="0" w:firstLine="0"/>
              <w:jc w:val="both"/>
              <w:rPr>
                <w:rFonts w:hint="eastAsia"/>
                <w:sz w:val="24"/>
              </w:rPr>
            </w:pPr>
            <w:r>
              <w:rPr>
                <w:sz w:val="24"/>
              </w:rPr>
              <w:t>股东与投资者</w:t>
            </w:r>
          </w:p>
        </w:tc>
        <w:tc>
          <w:tcPr>
            <w:tcW w:w="6630" w:type="dxa"/>
            <w:vAlign w:val="center"/>
          </w:tcPr>
          <w:p w14:paraId="46B48B9D">
            <w:pPr>
              <w:pStyle w:val="17"/>
              <w:tabs>
                <w:tab w:val="left" w:pos="600"/>
              </w:tabs>
              <w:spacing w:before="0" w:line="360" w:lineRule="auto"/>
              <w:ind w:left="0" w:firstLine="0"/>
              <w:jc w:val="both"/>
              <w:rPr>
                <w:rFonts w:hint="eastAsia"/>
                <w:sz w:val="24"/>
              </w:rPr>
            </w:pPr>
            <w:r>
              <w:rPr>
                <w:sz w:val="24"/>
              </w:rPr>
              <w:t>准确及时披露经营状况和重大事项信息，提供合理投资回报遵循责任经营和责任投资的基本原则</w:t>
            </w:r>
          </w:p>
        </w:tc>
      </w:tr>
      <w:tr w14:paraId="583B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13593C23">
            <w:pPr>
              <w:pStyle w:val="17"/>
              <w:tabs>
                <w:tab w:val="left" w:pos="600"/>
              </w:tabs>
              <w:spacing w:before="0" w:line="360" w:lineRule="auto"/>
              <w:ind w:left="0" w:firstLine="0"/>
              <w:jc w:val="both"/>
              <w:rPr>
                <w:sz w:val="24"/>
              </w:rPr>
            </w:pPr>
            <w:r>
              <w:rPr>
                <w:sz w:val="24"/>
              </w:rPr>
              <w:t>客 户</w:t>
            </w:r>
          </w:p>
        </w:tc>
        <w:tc>
          <w:tcPr>
            <w:tcW w:w="6630" w:type="dxa"/>
            <w:vAlign w:val="center"/>
          </w:tcPr>
          <w:p w14:paraId="77274CE0">
            <w:pPr>
              <w:pStyle w:val="17"/>
              <w:tabs>
                <w:tab w:val="left" w:pos="600"/>
              </w:tabs>
              <w:spacing w:before="0" w:line="360" w:lineRule="auto"/>
              <w:ind w:left="0" w:firstLine="0"/>
              <w:jc w:val="both"/>
              <w:rPr>
                <w:sz w:val="24"/>
              </w:rPr>
            </w:pPr>
            <w:r>
              <w:rPr>
                <w:sz w:val="24"/>
              </w:rPr>
              <w:t>提供优质的产品和服务；产品具有安全性和便利性；持续提升客户满意度；及时合规的信息沟通</w:t>
            </w:r>
          </w:p>
        </w:tc>
      </w:tr>
      <w:tr w14:paraId="54D5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1B0D06A7">
            <w:pPr>
              <w:pStyle w:val="17"/>
              <w:tabs>
                <w:tab w:val="left" w:pos="600"/>
              </w:tabs>
              <w:spacing w:before="0" w:line="360" w:lineRule="auto"/>
              <w:ind w:left="0" w:firstLine="0"/>
              <w:jc w:val="both"/>
              <w:rPr>
                <w:sz w:val="24"/>
              </w:rPr>
            </w:pPr>
            <w:r>
              <w:rPr>
                <w:sz w:val="24"/>
              </w:rPr>
              <w:t>员 工</w:t>
            </w:r>
          </w:p>
        </w:tc>
        <w:tc>
          <w:tcPr>
            <w:tcW w:w="6630" w:type="dxa"/>
            <w:vAlign w:val="center"/>
          </w:tcPr>
          <w:p w14:paraId="5F7584F3">
            <w:pPr>
              <w:pStyle w:val="17"/>
              <w:tabs>
                <w:tab w:val="left" w:pos="600"/>
              </w:tabs>
              <w:spacing w:before="0" w:line="360" w:lineRule="auto"/>
              <w:ind w:left="0" w:firstLine="0"/>
              <w:jc w:val="both"/>
              <w:rPr>
                <w:sz w:val="24"/>
              </w:rPr>
            </w:pPr>
            <w:r>
              <w:rPr>
                <w:sz w:val="24"/>
              </w:rPr>
              <w:t>维护员工合法权益；创造良好的工作环境；给予合理的待遇提供教育和培训，为员工创造发展空间</w:t>
            </w:r>
          </w:p>
        </w:tc>
      </w:tr>
      <w:tr w14:paraId="078F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2D522120">
            <w:pPr>
              <w:pStyle w:val="17"/>
              <w:tabs>
                <w:tab w:val="left" w:pos="600"/>
              </w:tabs>
              <w:spacing w:before="0" w:line="360" w:lineRule="auto"/>
              <w:ind w:left="0" w:firstLine="0"/>
              <w:jc w:val="both"/>
              <w:rPr>
                <w:sz w:val="24"/>
              </w:rPr>
            </w:pPr>
            <w:r>
              <w:rPr>
                <w:sz w:val="24"/>
              </w:rPr>
              <w:t>合作伙伴</w:t>
            </w:r>
          </w:p>
        </w:tc>
        <w:tc>
          <w:tcPr>
            <w:tcW w:w="6630" w:type="dxa"/>
            <w:vAlign w:val="center"/>
          </w:tcPr>
          <w:p w14:paraId="01A48C10">
            <w:pPr>
              <w:pStyle w:val="17"/>
              <w:tabs>
                <w:tab w:val="left" w:pos="600"/>
              </w:tabs>
              <w:spacing w:before="0" w:line="360" w:lineRule="auto"/>
              <w:ind w:left="0" w:firstLine="0"/>
              <w:jc w:val="both"/>
              <w:rPr>
                <w:sz w:val="24"/>
              </w:rPr>
            </w:pPr>
            <w:r>
              <w:rPr>
                <w:sz w:val="24"/>
              </w:rPr>
              <w:t>实行公平采购；协助履行社会责任；建立相互尊重的合作关系；坚持诚实守信，维护企业的信誉</w:t>
            </w:r>
          </w:p>
        </w:tc>
      </w:tr>
      <w:tr w14:paraId="3362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05BFE8E7">
            <w:pPr>
              <w:pStyle w:val="17"/>
              <w:tabs>
                <w:tab w:val="left" w:pos="600"/>
              </w:tabs>
              <w:spacing w:before="0" w:line="360" w:lineRule="auto"/>
              <w:ind w:left="0" w:firstLine="0"/>
              <w:jc w:val="both"/>
              <w:rPr>
                <w:sz w:val="24"/>
              </w:rPr>
            </w:pPr>
            <w:r>
              <w:rPr>
                <w:sz w:val="24"/>
              </w:rPr>
              <w:t>政 府</w:t>
            </w:r>
          </w:p>
        </w:tc>
        <w:tc>
          <w:tcPr>
            <w:tcW w:w="6630" w:type="dxa"/>
            <w:vAlign w:val="center"/>
          </w:tcPr>
          <w:p w14:paraId="78FB3360">
            <w:pPr>
              <w:pStyle w:val="17"/>
              <w:tabs>
                <w:tab w:val="left" w:pos="600"/>
              </w:tabs>
              <w:spacing w:before="0" w:line="360" w:lineRule="auto"/>
              <w:ind w:left="0" w:firstLine="0"/>
              <w:jc w:val="both"/>
              <w:rPr>
                <w:sz w:val="24"/>
              </w:rPr>
            </w:pPr>
            <w:r>
              <w:rPr>
                <w:sz w:val="24"/>
              </w:rPr>
              <w:t>依法纳税，提供就业机会，带动地方经济发展</w:t>
            </w:r>
          </w:p>
        </w:tc>
      </w:tr>
      <w:tr w14:paraId="1F72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3EA89A88">
            <w:pPr>
              <w:pStyle w:val="17"/>
              <w:tabs>
                <w:tab w:val="left" w:pos="600"/>
              </w:tabs>
              <w:spacing w:before="0" w:line="360" w:lineRule="auto"/>
              <w:ind w:left="0" w:firstLine="0"/>
              <w:jc w:val="both"/>
              <w:rPr>
                <w:sz w:val="24"/>
              </w:rPr>
            </w:pPr>
            <w:r>
              <w:rPr>
                <w:sz w:val="24"/>
              </w:rPr>
              <w:t>自然环境</w:t>
            </w:r>
          </w:p>
        </w:tc>
        <w:tc>
          <w:tcPr>
            <w:tcW w:w="6630" w:type="dxa"/>
            <w:vAlign w:val="center"/>
          </w:tcPr>
          <w:p w14:paraId="410F5CF0">
            <w:pPr>
              <w:pStyle w:val="17"/>
              <w:tabs>
                <w:tab w:val="left" w:pos="600"/>
              </w:tabs>
              <w:spacing w:before="0" w:line="360" w:lineRule="auto"/>
              <w:ind w:left="0" w:firstLine="0"/>
              <w:jc w:val="both"/>
              <w:rPr>
                <w:sz w:val="24"/>
              </w:rPr>
            </w:pPr>
            <w:r>
              <w:rPr>
                <w:sz w:val="24"/>
              </w:rPr>
              <w:t>推行绿色生产，实践环保经营，倡导节能减排，开展水资源保护，改善自然生态系统</w:t>
            </w:r>
          </w:p>
        </w:tc>
      </w:tr>
      <w:tr w14:paraId="7060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6" w:type="dxa"/>
            <w:vAlign w:val="center"/>
          </w:tcPr>
          <w:p w14:paraId="593A7562">
            <w:pPr>
              <w:pStyle w:val="17"/>
              <w:tabs>
                <w:tab w:val="left" w:pos="600"/>
              </w:tabs>
              <w:spacing w:before="0" w:line="360" w:lineRule="auto"/>
              <w:ind w:left="0" w:firstLine="0"/>
              <w:jc w:val="both"/>
              <w:rPr>
                <w:sz w:val="24"/>
              </w:rPr>
            </w:pPr>
            <w:r>
              <w:rPr>
                <w:sz w:val="24"/>
              </w:rPr>
              <w:t>社区居民</w:t>
            </w:r>
          </w:p>
        </w:tc>
        <w:tc>
          <w:tcPr>
            <w:tcW w:w="6630" w:type="dxa"/>
            <w:vAlign w:val="center"/>
          </w:tcPr>
          <w:p w14:paraId="54EEF8C3">
            <w:pPr>
              <w:pStyle w:val="17"/>
              <w:tabs>
                <w:tab w:val="left" w:pos="600"/>
              </w:tabs>
              <w:spacing w:before="0" w:line="360" w:lineRule="auto"/>
              <w:ind w:left="0" w:firstLine="0"/>
              <w:jc w:val="both"/>
              <w:rPr>
                <w:sz w:val="24"/>
              </w:rPr>
            </w:pPr>
            <w:r>
              <w:rPr>
                <w:sz w:val="24"/>
              </w:rPr>
              <w:t>参与社会公益活动，为社会可持续、和谐发展做贡献</w:t>
            </w:r>
          </w:p>
        </w:tc>
      </w:tr>
    </w:tbl>
    <w:p w14:paraId="1680C632">
      <w:pPr>
        <w:pStyle w:val="5"/>
        <w:spacing w:line="360" w:lineRule="auto"/>
        <w:ind w:left="119" w:right="384" w:firstLine="480"/>
        <w:jc w:val="both"/>
      </w:pPr>
      <w:r>
        <w:t>企业所有的利益相关者的利益都是通过企业共同愿景的实现来达成的。没有共同的愿景，缺乏共同的信念，就没有利益相关的前提。所以,认同共同的企业愿景和价值观，是建设和完善企业与利益方关系管理体系的前提和基础。</w:t>
      </w:r>
    </w:p>
    <w:p w14:paraId="2A637B6A">
      <w:pPr>
        <w:pStyle w:val="17"/>
        <w:numPr>
          <w:ilvl w:val="1"/>
          <w:numId w:val="2"/>
        </w:numPr>
        <w:tabs>
          <w:tab w:val="left" w:pos="600"/>
        </w:tabs>
        <w:spacing w:before="0" w:line="360" w:lineRule="auto"/>
        <w:rPr>
          <w:sz w:val="24"/>
        </w:rPr>
      </w:pPr>
      <w:r>
        <w:rPr>
          <w:sz w:val="24"/>
        </w:rPr>
        <w:t>责任体系</w:t>
      </w:r>
    </w:p>
    <w:p w14:paraId="0BD914E5">
      <w:pPr>
        <w:pStyle w:val="5"/>
        <w:spacing w:line="360" w:lineRule="auto"/>
        <w:ind w:right="240" w:firstLine="480"/>
      </w:pPr>
      <w:r>
        <w:rPr>
          <w:spacing w:val="-6"/>
        </w:rPr>
        <w:t>对利益相关者的法律责任，这一责任主要包括企业根据《中华人民共和国公</w:t>
      </w:r>
      <w:r>
        <w:rPr>
          <w:spacing w:val="-13"/>
        </w:rPr>
        <w:t>司法》、 《中华人民共和国合同法》等法律法规，对出资人、债权人、供应商、</w:t>
      </w:r>
      <w:r>
        <w:rPr>
          <w:spacing w:val="-9"/>
        </w:rPr>
        <w:t>合作商、客户、社区及其它社会团体等所有利益相关者必须遵守各类合同，按照</w:t>
      </w:r>
      <w:r>
        <w:rPr>
          <w:spacing w:val="-14"/>
        </w:rPr>
        <w:t>法律规定进行利益分配，为社会提供最基本的产品和服务质量保证，不损害企业所在社区的合法权益，不影响其它社会团体的利益等内容。</w:t>
      </w:r>
    </w:p>
    <w:p w14:paraId="36EB6713">
      <w:pPr>
        <w:pStyle w:val="5"/>
        <w:spacing w:line="360" w:lineRule="auto"/>
        <w:ind w:right="119" w:firstLine="480"/>
      </w:pPr>
      <w:r>
        <w:rPr>
          <w:spacing w:val="-8"/>
        </w:rPr>
        <w:t xml:space="preserve">对环境的法律责任，这一责任主要包括企业根据《中华人民共和国环境保护 </w:t>
      </w:r>
      <w:r>
        <w:rPr>
          <w:spacing w:val="-10"/>
        </w:rPr>
        <w:t xml:space="preserve">法》等法律法规，在生产经营活动中必须履行资源和能耗的节约标准，必须达到 </w:t>
      </w:r>
      <w:r>
        <w:rPr>
          <w:spacing w:val="-16"/>
        </w:rPr>
        <w:t xml:space="preserve">国家强制规定的污染排放标准，对不能达标的项目必须加强技术改造和污染治理， </w:t>
      </w:r>
      <w:r>
        <w:t>努力达到国家规定的各项环保标准等内容。</w:t>
      </w:r>
    </w:p>
    <w:p w14:paraId="1005ABA5">
      <w:pPr>
        <w:pStyle w:val="5"/>
        <w:spacing w:line="360" w:lineRule="auto"/>
        <w:ind w:right="359" w:firstLine="480"/>
        <w:jc w:val="both"/>
      </w:pPr>
      <w:r>
        <w:rPr>
          <w:spacing w:val="-9"/>
        </w:rPr>
        <w:t>对员工的法律责任，这一责任主要包括企业根据《中华人民共和国劳动合同</w:t>
      </w:r>
      <w:r>
        <w:rPr>
          <w:spacing w:val="-12"/>
        </w:rPr>
        <w:t>法》等法律法规，必须为员工生产提供安全保障，必须按照国家政策保证员工的</w:t>
      </w:r>
      <w:r>
        <w:rPr>
          <w:spacing w:val="-8"/>
        </w:rPr>
        <w:t>各项福利待遇，必须为员工办理各种国家所规定的生育、失业、养老、疾病等基</w:t>
      </w:r>
      <w:r>
        <w:t>本社会保险等内容。</w:t>
      </w:r>
    </w:p>
    <w:p w14:paraId="28DCCB91">
      <w:pPr>
        <w:pStyle w:val="5"/>
        <w:spacing w:line="360" w:lineRule="auto"/>
        <w:ind w:right="360" w:firstLine="480"/>
        <w:jc w:val="both"/>
      </w:pPr>
      <w:r>
        <w:rPr>
          <w:spacing w:val="-9"/>
        </w:rPr>
        <w:t>对社会的法律责任，这一责任主要包括企业根据《中华人民共和国企业所得</w:t>
      </w:r>
      <w:r>
        <w:rPr>
          <w:spacing w:val="-21"/>
        </w:rPr>
        <w:t>税法》、《中华人民共和国增值税暂行条例》等法律法规，必须完成所得税、增值</w:t>
      </w:r>
      <w:r>
        <w:t>税等各种利税上缴等责任。</w:t>
      </w:r>
    </w:p>
    <w:p w14:paraId="466D4106">
      <w:pPr>
        <w:pStyle w:val="2"/>
        <w:spacing w:line="360" w:lineRule="auto"/>
      </w:pPr>
      <w:bookmarkStart w:id="3" w:name="二、战略与管理"/>
      <w:bookmarkEnd w:id="3"/>
      <w:bookmarkStart w:id="4" w:name="_Toc81224780"/>
      <w:r>
        <w:t>二、战略与管理</w:t>
      </w:r>
      <w:bookmarkEnd w:id="4"/>
    </w:p>
    <w:p w14:paraId="57E90249">
      <w:pPr>
        <w:pStyle w:val="5"/>
        <w:spacing w:line="360" w:lineRule="auto"/>
        <w:ind w:right="359" w:firstLine="480"/>
        <w:jc w:val="both"/>
      </w:pPr>
      <w:r>
        <w:t>a）</w:t>
      </w:r>
      <w:r>
        <w:rPr>
          <w:rFonts w:hint="eastAsia"/>
        </w:rPr>
        <w:t>构建独具特色的企业文化并向相关方沟通宣贯</w:t>
      </w:r>
    </w:p>
    <w:p w14:paraId="746371E2">
      <w:pPr>
        <w:pStyle w:val="5"/>
        <w:spacing w:line="360" w:lineRule="auto"/>
        <w:ind w:right="359" w:firstLine="480"/>
        <w:jc w:val="both"/>
      </w:pPr>
      <w:r>
        <w:rPr>
          <w:rFonts w:hint="eastAsia"/>
        </w:rPr>
        <w:t>企业文化是企业的思维方式和行事准则，是企业个性化的体现。它是植根于企业内部的精神载体，可以促进组织的管理发展，增强企业凝聚力，是一个企业的旗帜、灵魂和方向。从成立之初到现在，随着企业的创立、成长与发展，</w:t>
      </w:r>
      <w:r>
        <w:rPr>
          <w:rFonts w:hint="eastAsia"/>
          <w:lang w:eastAsia="zh-CN"/>
        </w:rPr>
        <w:t>巨东</w:t>
      </w:r>
      <w:r>
        <w:rPr>
          <w:rFonts w:hint="eastAsia"/>
        </w:rPr>
        <w:t>逐步形成了其独具特色的企业文化体系。</w:t>
      </w:r>
    </w:p>
    <w:p w14:paraId="2D006551">
      <w:pPr>
        <w:pStyle w:val="5"/>
        <w:spacing w:line="360" w:lineRule="auto"/>
        <w:ind w:right="359" w:firstLine="480"/>
        <w:jc w:val="both"/>
      </w:pPr>
      <w:r>
        <w:rPr>
          <w:rFonts w:hint="eastAsia"/>
        </w:rPr>
        <w:t>1）确立以使命、愿景和价值观为和核心的文化</w:t>
      </w:r>
    </w:p>
    <w:p w14:paraId="16576FA2">
      <w:pPr>
        <w:pStyle w:val="5"/>
        <w:spacing w:line="360" w:lineRule="auto"/>
        <w:ind w:right="359" w:firstLine="480"/>
        <w:jc w:val="both"/>
        <w:rPr>
          <w:lang w:val="en-US"/>
        </w:rPr>
      </w:pPr>
      <w:r>
        <w:rPr>
          <w:rFonts w:hint="eastAsia"/>
          <w:lang w:val="en-US"/>
        </w:rPr>
        <w:t>通过对市场进行详细调查，于</w:t>
      </w:r>
      <w:r>
        <w:rPr>
          <w:lang w:val="en-US"/>
        </w:rPr>
        <w:t>200</w:t>
      </w:r>
      <w:r>
        <w:rPr>
          <w:rFonts w:hint="eastAsia"/>
          <w:lang w:val="en-US" w:eastAsia="zh-CN"/>
        </w:rPr>
        <w:t>9</w:t>
      </w:r>
      <w:r>
        <w:rPr>
          <w:lang w:val="en-US"/>
        </w:rPr>
        <w:t>年初成立</w:t>
      </w:r>
      <w:r>
        <w:rPr>
          <w:rFonts w:hint="eastAsia"/>
          <w:lang w:val="en-US" w:eastAsia="zh-CN"/>
        </w:rPr>
        <w:t>浙江巨东股份有限公司</w:t>
      </w:r>
      <w:r>
        <w:rPr>
          <w:lang w:val="en-US"/>
        </w:rPr>
        <w:t>，</w:t>
      </w:r>
      <w:r>
        <w:rPr>
          <w:rFonts w:hint="eastAsia"/>
          <w:lang w:val="en-US"/>
        </w:rPr>
        <w:t>公司目前的主要产品为废铜、废铝、废钢及铜、铝、钢 的再生金属产品，如铜棒、铝锭、阀门等，主要销售给金属制造加工企业、 商贸企业</w:t>
      </w:r>
      <w:r>
        <w:rPr>
          <w:lang w:val="en-US"/>
        </w:rPr>
        <w:t>。</w:t>
      </w:r>
      <w:r>
        <w:rPr>
          <w:rFonts w:hint="eastAsia"/>
          <w:lang w:val="en-US"/>
        </w:rPr>
        <w:t>此后</w:t>
      </w:r>
      <w:r>
        <w:rPr>
          <w:lang w:val="en-US"/>
        </w:rPr>
        <w:t>公司</w:t>
      </w:r>
      <w:r>
        <w:rPr>
          <w:rFonts w:hint="eastAsia"/>
          <w:lang w:val="en-US" w:eastAsia="zh-CN"/>
        </w:rPr>
        <w:t>成立多家分公司，</w:t>
      </w:r>
      <w:r>
        <w:rPr>
          <w:lang w:val="en-US"/>
        </w:rPr>
        <w:t>投重金潜心研发技术，获得多项国家专利，公司通过ISO9001</w:t>
      </w:r>
      <w:r>
        <w:rPr>
          <w:rFonts w:hint="eastAsia"/>
          <w:lang w:val="en-US" w:eastAsia="zh-CN"/>
        </w:rPr>
        <w:t>、ISO45001、ISO14001</w:t>
      </w:r>
      <w:r>
        <w:rPr>
          <w:lang w:val="en-US"/>
        </w:rPr>
        <w:t>认证。同时引进先进的</w:t>
      </w:r>
      <w:r>
        <w:rPr>
          <w:rFonts w:hint="eastAsia"/>
          <w:lang w:val="en-US"/>
        </w:rPr>
        <w:t>生产设备，产品关键指标始终保持远高于国标水平</w:t>
      </w:r>
      <w:r>
        <w:rPr>
          <w:lang w:val="en-US"/>
        </w:rPr>
        <w:t>。</w:t>
      </w:r>
    </w:p>
    <w:p w14:paraId="2348504A">
      <w:pPr>
        <w:pStyle w:val="5"/>
        <w:spacing w:line="360" w:lineRule="auto"/>
        <w:ind w:right="359" w:firstLine="480"/>
        <w:jc w:val="both"/>
      </w:pPr>
      <w:r>
        <w:rPr>
          <w:rFonts w:hint="eastAsia"/>
          <w:lang w:eastAsia="zh-CN"/>
        </w:rPr>
        <w:t>巨东</w:t>
      </w:r>
      <w:r>
        <w:rPr>
          <w:rFonts w:hint="eastAsia"/>
        </w:rPr>
        <w:t>自创立以来，基于行业特点及企业发展逐步凝练了核心价值观，并随着公司的发展而不断调整和提升，最终提炼形成了公司的核心价值理念体系。</w:t>
      </w:r>
    </w:p>
    <w:p w14:paraId="52A21A85">
      <w:pPr>
        <w:pStyle w:val="5"/>
        <w:spacing w:line="360" w:lineRule="auto"/>
        <w:ind w:right="359" w:firstLine="480"/>
        <w:jc w:val="both"/>
      </w:pPr>
    </w:p>
    <w:tbl>
      <w:tblPr>
        <w:tblStyle w:val="10"/>
        <w:tblW w:w="890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7208"/>
      </w:tblGrid>
      <w:tr w14:paraId="1E96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98" w:type="dxa"/>
            <w:shd w:val="clear" w:color="auto" w:fill="4472C4"/>
            <w:vAlign w:val="center"/>
          </w:tcPr>
          <w:p w14:paraId="78B98305">
            <w:pPr>
              <w:spacing w:line="360" w:lineRule="auto"/>
              <w:jc w:val="center"/>
              <w:rPr>
                <w:rFonts w:ascii="Arial" w:hAnsi="Arial"/>
                <w:b/>
                <w:bCs/>
              </w:rPr>
            </w:pPr>
            <w:r>
              <w:rPr>
                <w:rFonts w:hint="eastAsia" w:ascii="Arial" w:hAnsi="Arial"/>
                <w:b/>
                <w:bCs/>
              </w:rPr>
              <w:t>文化构成</w:t>
            </w:r>
          </w:p>
        </w:tc>
        <w:tc>
          <w:tcPr>
            <w:tcW w:w="7208" w:type="dxa"/>
            <w:shd w:val="clear" w:color="auto" w:fill="4472C4"/>
            <w:vAlign w:val="center"/>
          </w:tcPr>
          <w:p w14:paraId="22B17C02">
            <w:pPr>
              <w:spacing w:line="360" w:lineRule="auto"/>
              <w:jc w:val="center"/>
              <w:rPr>
                <w:rFonts w:ascii="Arial" w:hAnsi="Arial"/>
                <w:b/>
                <w:bCs/>
              </w:rPr>
            </w:pPr>
            <w:r>
              <w:rPr>
                <w:rFonts w:hint="eastAsia" w:ascii="Arial" w:hAnsi="Arial"/>
                <w:b/>
                <w:bCs/>
              </w:rPr>
              <w:t>表述</w:t>
            </w:r>
          </w:p>
        </w:tc>
      </w:tr>
      <w:tr w14:paraId="4C98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98" w:type="dxa"/>
            <w:shd w:val="clear" w:color="auto" w:fill="auto"/>
            <w:vAlign w:val="center"/>
          </w:tcPr>
          <w:p w14:paraId="2043F764">
            <w:pPr>
              <w:spacing w:line="360" w:lineRule="auto"/>
              <w:jc w:val="center"/>
              <w:rPr>
                <w:rFonts w:ascii="Arial" w:hAnsi="Arial"/>
                <w:b/>
                <w:bCs/>
              </w:rPr>
            </w:pPr>
            <w:r>
              <w:rPr>
                <w:rFonts w:hint="eastAsia" w:ascii="Arial" w:hAnsi="Arial"/>
                <w:b/>
                <w:bCs/>
              </w:rPr>
              <w:t>使命</w:t>
            </w:r>
          </w:p>
        </w:tc>
        <w:tc>
          <w:tcPr>
            <w:tcW w:w="7208" w:type="dxa"/>
            <w:shd w:val="clear" w:color="auto" w:fill="auto"/>
            <w:vAlign w:val="center"/>
          </w:tcPr>
          <w:p w14:paraId="434BA9C6">
            <w:pPr>
              <w:spacing w:line="360" w:lineRule="auto"/>
              <w:jc w:val="center"/>
              <w:rPr>
                <w:rFonts w:ascii="Arial" w:hAnsi="Arial"/>
              </w:rPr>
            </w:pPr>
            <w:r>
              <w:rPr>
                <w:rFonts w:hint="eastAsia"/>
                <w:szCs w:val="24"/>
                <w:lang w:val="en-US"/>
              </w:rPr>
              <w:t>成为全球再生资源回收利用行业领跑者</w:t>
            </w:r>
          </w:p>
        </w:tc>
      </w:tr>
      <w:tr w14:paraId="2FC7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98" w:type="dxa"/>
            <w:shd w:val="clear" w:color="auto" w:fill="auto"/>
            <w:vAlign w:val="center"/>
          </w:tcPr>
          <w:p w14:paraId="6604EB30">
            <w:pPr>
              <w:spacing w:line="360" w:lineRule="auto"/>
              <w:jc w:val="center"/>
              <w:rPr>
                <w:rFonts w:ascii="Arial" w:hAnsi="Arial"/>
                <w:b/>
                <w:bCs/>
              </w:rPr>
            </w:pPr>
            <w:r>
              <w:rPr>
                <w:rFonts w:hint="eastAsia" w:ascii="Arial" w:hAnsi="Arial"/>
                <w:b/>
                <w:bCs/>
              </w:rPr>
              <w:t>愿景</w:t>
            </w:r>
          </w:p>
        </w:tc>
        <w:tc>
          <w:tcPr>
            <w:tcW w:w="7208" w:type="dxa"/>
            <w:shd w:val="clear" w:color="auto" w:fill="auto"/>
            <w:vAlign w:val="center"/>
          </w:tcPr>
          <w:p w14:paraId="5139D29F">
            <w:pPr>
              <w:spacing w:line="360" w:lineRule="auto"/>
              <w:jc w:val="center"/>
              <w:rPr>
                <w:rFonts w:ascii="Arial" w:hAnsi="Arial"/>
              </w:rPr>
            </w:pPr>
            <w:r>
              <w:rPr>
                <w:rFonts w:hint="eastAsia"/>
                <w:szCs w:val="24"/>
              </w:rPr>
              <w:t xml:space="preserve">做强再生资源回收利用，发展循环经济产业、创 造美好生活环境 </w:t>
            </w:r>
          </w:p>
        </w:tc>
      </w:tr>
      <w:tr w14:paraId="7994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98" w:type="dxa"/>
            <w:shd w:val="clear" w:color="auto" w:fill="auto"/>
            <w:vAlign w:val="center"/>
          </w:tcPr>
          <w:p w14:paraId="00B11014">
            <w:pPr>
              <w:spacing w:line="360" w:lineRule="auto"/>
              <w:jc w:val="center"/>
              <w:rPr>
                <w:rFonts w:ascii="Arial" w:hAnsi="Arial"/>
                <w:b/>
                <w:bCs/>
              </w:rPr>
            </w:pPr>
            <w:r>
              <w:rPr>
                <w:rFonts w:hint="eastAsia" w:ascii="Arial" w:hAnsi="Arial"/>
                <w:b/>
                <w:bCs/>
              </w:rPr>
              <w:t>价值观</w:t>
            </w:r>
          </w:p>
        </w:tc>
        <w:tc>
          <w:tcPr>
            <w:tcW w:w="7208" w:type="dxa"/>
            <w:shd w:val="clear" w:color="auto" w:fill="auto"/>
            <w:vAlign w:val="center"/>
          </w:tcPr>
          <w:p w14:paraId="13DCC4A1">
            <w:pPr>
              <w:spacing w:line="360" w:lineRule="auto"/>
              <w:jc w:val="center"/>
              <w:rPr>
                <w:rFonts w:ascii="Arial" w:hAnsi="Arial"/>
              </w:rPr>
            </w:pPr>
            <w:r>
              <w:rPr>
                <w:rFonts w:hint="eastAsia"/>
                <w:szCs w:val="24"/>
              </w:rPr>
              <w:t>责任、制度、数据</w:t>
            </w:r>
          </w:p>
        </w:tc>
      </w:tr>
      <w:tr w14:paraId="15DE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698" w:type="dxa"/>
            <w:shd w:val="clear" w:color="auto" w:fill="auto"/>
            <w:vAlign w:val="center"/>
          </w:tcPr>
          <w:p w14:paraId="7881CF5E">
            <w:pPr>
              <w:spacing w:line="360" w:lineRule="auto"/>
              <w:jc w:val="center"/>
              <w:rPr>
                <w:rFonts w:ascii="Arial" w:hAnsi="Arial"/>
                <w:b/>
                <w:bCs/>
              </w:rPr>
            </w:pPr>
            <w:r>
              <w:rPr>
                <w:rFonts w:hint="eastAsia" w:ascii="Arial" w:hAnsi="Arial"/>
                <w:b/>
                <w:bCs/>
              </w:rPr>
              <w:t>经营理念</w:t>
            </w:r>
          </w:p>
        </w:tc>
        <w:tc>
          <w:tcPr>
            <w:tcW w:w="7208" w:type="dxa"/>
            <w:shd w:val="clear" w:color="auto" w:fill="auto"/>
            <w:vAlign w:val="center"/>
          </w:tcPr>
          <w:p w14:paraId="69104E29">
            <w:pPr>
              <w:spacing w:line="360" w:lineRule="auto"/>
              <w:jc w:val="center"/>
              <w:rPr>
                <w:rFonts w:ascii="Arial" w:hAnsi="Arial"/>
                <w:szCs w:val="24"/>
              </w:rPr>
            </w:pPr>
            <w:r>
              <w:rPr>
                <w:rFonts w:hint="eastAsia"/>
                <w:szCs w:val="24"/>
              </w:rPr>
              <w:t>珍惜资源、变废为宝、贡献社会、创新管理、提高效益、 不忘环保</w:t>
            </w:r>
          </w:p>
        </w:tc>
      </w:tr>
    </w:tbl>
    <w:p w14:paraId="40647ABB">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 xml:space="preserve">1 </w:t>
      </w:r>
      <w:r>
        <w:rPr>
          <w:rFonts w:hint="eastAsia"/>
        </w:rPr>
        <w:t>企业文化体系</w:t>
      </w:r>
    </w:p>
    <w:p w14:paraId="492DB76F">
      <w:pPr>
        <w:keepNext w:val="0"/>
        <w:keepLines w:val="0"/>
        <w:widowControl/>
        <w:suppressLineNumbers w:val="0"/>
        <w:spacing w:line="360" w:lineRule="auto"/>
        <w:ind w:firstLine="480" w:firstLineChars="200"/>
        <w:jc w:val="left"/>
        <w:rPr>
          <w:rFonts w:hint="eastAsia" w:ascii="宋体" w:hAnsi="宋体" w:eastAsia="宋体" w:cs="宋体"/>
          <w:sz w:val="24"/>
          <w:szCs w:val="24"/>
          <w:lang w:val="zh-CN" w:eastAsia="zh-CN" w:bidi="zh-CN"/>
        </w:rPr>
      </w:pPr>
      <w:bookmarkStart w:id="5" w:name="_Ref329948790"/>
      <w:r>
        <w:rPr>
          <w:rFonts w:hint="eastAsia" w:ascii="宋体" w:hAnsi="宋体" w:eastAsia="宋体" w:cs="宋体"/>
          <w:sz w:val="24"/>
          <w:szCs w:val="24"/>
          <w:lang w:val="en-US" w:eastAsia="zh-CN" w:bidi="zh-CN"/>
        </w:rPr>
        <w:t xml:space="preserve">公司秉承“珍惜资源、变废为宝、贡献社会、创新管理、提高效益、 </w:t>
      </w:r>
    </w:p>
    <w:p w14:paraId="431A0134">
      <w:pPr>
        <w:keepNext w:val="0"/>
        <w:keepLines w:val="0"/>
        <w:widowControl/>
        <w:suppressLineNumbers w:val="0"/>
        <w:spacing w:line="360" w:lineRule="auto"/>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en-US" w:eastAsia="zh-CN" w:bidi="zh-CN"/>
        </w:rPr>
        <w:t>不忘环保</w:t>
      </w:r>
      <w:r>
        <w:rPr>
          <w:rFonts w:hint="default" w:ascii="宋体" w:hAnsi="宋体" w:eastAsia="宋体" w:cs="宋体"/>
          <w:sz w:val="24"/>
          <w:szCs w:val="24"/>
          <w:lang w:val="en-US" w:eastAsia="zh-CN" w:bidi="zh-CN"/>
        </w:rPr>
        <w:t>”</w:t>
      </w:r>
      <w:r>
        <w:rPr>
          <w:rFonts w:hint="eastAsia" w:ascii="宋体" w:hAnsi="宋体" w:eastAsia="宋体" w:cs="宋体"/>
          <w:sz w:val="24"/>
          <w:szCs w:val="24"/>
          <w:lang w:val="en-US" w:eastAsia="zh-CN" w:bidi="zh-CN"/>
        </w:rPr>
        <w:t>的经营方针，本着</w:t>
      </w:r>
      <w:r>
        <w:rPr>
          <w:rFonts w:hint="default" w:ascii="宋体" w:hAnsi="宋体" w:eastAsia="宋体" w:cs="宋体"/>
          <w:sz w:val="24"/>
          <w:szCs w:val="24"/>
          <w:lang w:val="en-US" w:eastAsia="zh-CN" w:bidi="zh-CN"/>
        </w:rPr>
        <w:t>“</w:t>
      </w:r>
      <w:r>
        <w:rPr>
          <w:rFonts w:hint="eastAsia" w:ascii="宋体" w:hAnsi="宋体" w:eastAsia="宋体" w:cs="宋体"/>
          <w:sz w:val="24"/>
          <w:szCs w:val="24"/>
          <w:lang w:val="en-US" w:eastAsia="zh-CN" w:bidi="zh-CN"/>
        </w:rPr>
        <w:t>推进转型升级，发展循环经济</w:t>
      </w:r>
      <w:r>
        <w:rPr>
          <w:rFonts w:hint="default" w:ascii="宋体" w:hAnsi="宋体" w:eastAsia="宋体" w:cs="宋体"/>
          <w:sz w:val="24"/>
          <w:szCs w:val="24"/>
          <w:lang w:val="en-US" w:eastAsia="zh-CN" w:bidi="zh-CN"/>
        </w:rPr>
        <w:t>”</w:t>
      </w:r>
      <w:r>
        <w:rPr>
          <w:rFonts w:hint="eastAsia" w:ascii="宋体" w:hAnsi="宋体" w:eastAsia="宋体" w:cs="宋体"/>
          <w:sz w:val="24"/>
          <w:szCs w:val="24"/>
          <w:lang w:val="en-US" w:eastAsia="zh-CN" w:bidi="zh-CN"/>
        </w:rPr>
        <w:t xml:space="preserve">的经营理念， </w:t>
      </w:r>
    </w:p>
    <w:p w14:paraId="6F2A11AB">
      <w:pPr>
        <w:keepNext w:val="0"/>
        <w:keepLines w:val="0"/>
        <w:widowControl/>
        <w:suppressLineNumbers w:val="0"/>
        <w:spacing w:line="360" w:lineRule="auto"/>
        <w:jc w:val="left"/>
        <w:rPr>
          <w:rFonts w:hint="eastAsia" w:ascii="宋体" w:hAnsi="宋体" w:eastAsia="宋体" w:cs="宋体"/>
          <w:sz w:val="24"/>
          <w:szCs w:val="24"/>
          <w:lang w:val="zh-CN" w:eastAsia="zh-CN" w:bidi="zh-CN"/>
        </w:rPr>
      </w:pPr>
      <w:r>
        <w:rPr>
          <w:rFonts w:hint="eastAsia" w:ascii="宋体" w:hAnsi="宋体" w:eastAsia="宋体" w:cs="宋体"/>
          <w:sz w:val="24"/>
          <w:szCs w:val="24"/>
          <w:lang w:val="en-US" w:eastAsia="zh-CN" w:bidi="zh-CN"/>
        </w:rPr>
        <w:t xml:space="preserve">致力于废弃资源综合利用，提高再生产品附加值，为实现再生资源循环经 </w:t>
      </w:r>
    </w:p>
    <w:p w14:paraId="7DFF18C5">
      <w:pPr>
        <w:keepNext w:val="0"/>
        <w:keepLines w:val="0"/>
        <w:widowControl/>
        <w:suppressLineNumbers w:val="0"/>
        <w:spacing w:line="360" w:lineRule="auto"/>
        <w:jc w:val="left"/>
      </w:pPr>
      <w:r>
        <w:rPr>
          <w:rFonts w:hint="eastAsia" w:ascii="宋体" w:hAnsi="宋体" w:eastAsia="宋体" w:cs="宋体"/>
          <w:sz w:val="24"/>
          <w:szCs w:val="24"/>
          <w:lang w:val="en-US" w:eastAsia="zh-CN" w:bidi="zh-CN"/>
        </w:rPr>
        <w:t>济发展和国家生态文明建设，贡献自己的力量。</w:t>
      </w:r>
    </w:p>
    <w:bookmarkEnd w:id="5"/>
    <w:p w14:paraId="0860AE39">
      <w:pPr>
        <w:pStyle w:val="5"/>
        <w:spacing w:line="360" w:lineRule="auto"/>
        <w:ind w:right="359" w:firstLine="480"/>
        <w:jc w:val="both"/>
      </w:pPr>
      <w:r>
        <w:rPr>
          <w:rFonts w:hint="eastAsia"/>
        </w:rPr>
        <w:t>2）企业文化理念的宣贯</w:t>
      </w:r>
    </w:p>
    <w:p w14:paraId="5BAEDC98">
      <w:pPr>
        <w:pStyle w:val="5"/>
        <w:spacing w:line="360" w:lineRule="auto"/>
        <w:ind w:right="359" w:firstLine="480"/>
        <w:jc w:val="both"/>
      </w:pPr>
      <w:r>
        <w:rPr>
          <w:rFonts w:hint="eastAsia"/>
        </w:rPr>
        <w:t>公司总经理非常注重企业文化建设，他相信“文化是最顶层，包括团队的方向，追求持续经营，要做顶级</w:t>
      </w:r>
      <w:r>
        <w:rPr>
          <w:rFonts w:hint="eastAsia"/>
          <w:lang w:val="en-US"/>
        </w:rPr>
        <w:t>制造商</w:t>
      </w:r>
      <w:r>
        <w:rPr>
          <w:rFonts w:hint="eastAsia"/>
        </w:rPr>
        <w:t>就必须打造好企业文化”。</w:t>
      </w:r>
    </w:p>
    <w:p w14:paraId="0E56307C">
      <w:pPr>
        <w:pStyle w:val="5"/>
        <w:spacing w:line="360" w:lineRule="auto"/>
        <w:ind w:right="359" w:firstLine="480"/>
        <w:jc w:val="both"/>
      </w:pPr>
      <w:r>
        <w:drawing>
          <wp:inline distT="0" distB="0" distL="114300" distR="114300">
            <wp:extent cx="4508500" cy="2609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508500" cy="2609850"/>
                    </a:xfrm>
                    <a:prstGeom prst="rect">
                      <a:avLst/>
                    </a:prstGeom>
                    <a:noFill/>
                    <a:ln>
                      <a:noFill/>
                    </a:ln>
                  </pic:spPr>
                </pic:pic>
              </a:graphicData>
            </a:graphic>
          </wp:inline>
        </w:drawing>
      </w:r>
    </w:p>
    <w:p w14:paraId="6BDBDF40">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2</w:t>
      </w:r>
      <w:r>
        <w:rPr>
          <w:rFonts w:hint="eastAsia"/>
        </w:rPr>
        <w:t xml:space="preserve"> 公司多渠道企业文化传播</w:t>
      </w:r>
    </w:p>
    <w:p w14:paraId="1D28D49D">
      <w:pPr>
        <w:pStyle w:val="5"/>
        <w:spacing w:line="360" w:lineRule="auto"/>
        <w:ind w:right="359" w:firstLine="480"/>
        <w:jc w:val="both"/>
      </w:pPr>
      <w:r>
        <w:rPr>
          <w:rFonts w:hint="eastAsia"/>
        </w:rPr>
        <w:t>总经理希望</w:t>
      </w:r>
      <w:r>
        <w:rPr>
          <w:rFonts w:hint="eastAsia"/>
          <w:lang w:eastAsia="zh-CN"/>
        </w:rPr>
        <w:t>巨东</w:t>
      </w:r>
      <w:r>
        <w:rPr>
          <w:rFonts w:hint="eastAsia"/>
        </w:rPr>
        <w:t>优秀的企业文化能培养更多的优秀人才，继而以优秀的人才团队推动企业的快速发展，使</w:t>
      </w:r>
      <w:r>
        <w:rPr>
          <w:rFonts w:hint="eastAsia"/>
          <w:lang w:eastAsia="zh-CN"/>
        </w:rPr>
        <w:t>巨东</w:t>
      </w:r>
      <w:r>
        <w:rPr>
          <w:rFonts w:hint="eastAsia"/>
        </w:rPr>
        <w:t>早日成为国际</w:t>
      </w:r>
      <w:r>
        <w:rPr>
          <w:rFonts w:hint="eastAsia"/>
          <w:lang w:val="en-US"/>
        </w:rPr>
        <w:t>一流的知名企业</w:t>
      </w:r>
      <w:r>
        <w:rPr>
          <w:rFonts w:hint="eastAsia"/>
        </w:rPr>
        <w:t>，早日达到既定目标，实现崇高理想。近年来，公司将“企业文化培训”作为新员工入职学习内容之一，每年由高层领导亲自讲解和引导；公司通过</w:t>
      </w:r>
      <w:r>
        <w:rPr>
          <w:rFonts w:hint="eastAsia"/>
          <w:lang w:eastAsia="zh-CN"/>
        </w:rPr>
        <w:t>巨东</w:t>
      </w:r>
      <w:r>
        <w:rPr>
          <w:rFonts w:hint="eastAsia"/>
        </w:rPr>
        <w:t>网站、宣传海报、企业文化手册、丰富多彩的企业文化活动等方式，将核心文化传播至各层次、各部门，营造浓郁的企业文化氛围。</w:t>
      </w:r>
    </w:p>
    <w:p w14:paraId="4F2C432A">
      <w:pPr>
        <w:pStyle w:val="5"/>
        <w:spacing w:line="360" w:lineRule="auto"/>
        <w:ind w:right="359" w:firstLine="480"/>
        <w:jc w:val="both"/>
      </w:pPr>
      <w:r>
        <w:rPr>
          <w:rFonts w:hint="eastAsia"/>
        </w:rPr>
        <w:t>与相关方进行沟通，激励员工以强化组织的方向和重点</w:t>
      </w:r>
    </w:p>
    <w:p w14:paraId="79EEB1AA">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3</w:t>
      </w:r>
      <w:r>
        <w:t xml:space="preserve"> </w:t>
      </w:r>
      <w:r>
        <w:rPr>
          <w:rFonts w:hint="eastAsia"/>
        </w:rPr>
        <w:t>企业文化宣传一览表</w:t>
      </w:r>
    </w:p>
    <w:tbl>
      <w:tblPr>
        <w:tblStyle w:val="10"/>
        <w:tblW w:w="90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8"/>
        <w:gridCol w:w="524"/>
        <w:gridCol w:w="1840"/>
        <w:gridCol w:w="2269"/>
        <w:gridCol w:w="1721"/>
        <w:gridCol w:w="2211"/>
      </w:tblGrid>
      <w:tr w14:paraId="6B724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jc w:val="center"/>
        </w:trPr>
        <w:tc>
          <w:tcPr>
            <w:tcW w:w="962" w:type="dxa"/>
            <w:gridSpan w:val="2"/>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14:paraId="20B6AF5E">
            <w:pPr>
              <w:snapToGrid w:val="0"/>
              <w:spacing w:line="360" w:lineRule="auto"/>
              <w:jc w:val="center"/>
              <w:rPr>
                <w:rFonts w:ascii="微软雅黑" w:hAnsi="微软雅黑" w:eastAsia="微软雅黑"/>
                <w:b/>
              </w:rPr>
            </w:pPr>
            <w:r>
              <w:rPr>
                <w:rFonts w:hint="eastAsia" w:ascii="微软雅黑" w:hAnsi="微软雅黑" w:eastAsia="微软雅黑"/>
                <w:b/>
              </w:rPr>
              <w:t>对象</w:t>
            </w:r>
          </w:p>
        </w:tc>
        <w:tc>
          <w:tcPr>
            <w:tcW w:w="1840"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14:paraId="246E4992">
            <w:pPr>
              <w:snapToGrid w:val="0"/>
              <w:spacing w:line="360" w:lineRule="auto"/>
              <w:jc w:val="center"/>
              <w:rPr>
                <w:rFonts w:ascii="微软雅黑" w:hAnsi="微软雅黑" w:eastAsia="微软雅黑"/>
                <w:b/>
              </w:rPr>
            </w:pPr>
            <w:r>
              <w:rPr>
                <w:rFonts w:hint="eastAsia" w:ascii="微软雅黑" w:hAnsi="微软雅黑" w:eastAsia="微软雅黑"/>
                <w:b/>
              </w:rPr>
              <w:t>宣传渠道</w:t>
            </w:r>
          </w:p>
        </w:tc>
        <w:tc>
          <w:tcPr>
            <w:tcW w:w="2269"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14:paraId="4C902B34">
            <w:pPr>
              <w:snapToGrid w:val="0"/>
              <w:spacing w:line="360" w:lineRule="auto"/>
              <w:jc w:val="center"/>
              <w:rPr>
                <w:rFonts w:ascii="微软雅黑" w:hAnsi="微软雅黑" w:eastAsia="微软雅黑"/>
                <w:b/>
              </w:rPr>
            </w:pPr>
            <w:r>
              <w:rPr>
                <w:rFonts w:hint="eastAsia" w:ascii="微软雅黑" w:hAnsi="微软雅黑" w:eastAsia="微软雅黑"/>
                <w:b/>
              </w:rPr>
              <w:t>宣传内容</w:t>
            </w:r>
          </w:p>
        </w:tc>
        <w:tc>
          <w:tcPr>
            <w:tcW w:w="1721"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14:paraId="5E4A868C">
            <w:pPr>
              <w:snapToGrid w:val="0"/>
              <w:spacing w:line="360" w:lineRule="auto"/>
              <w:jc w:val="center"/>
              <w:rPr>
                <w:rFonts w:ascii="微软雅黑" w:hAnsi="微软雅黑" w:eastAsia="微软雅黑"/>
                <w:b/>
              </w:rPr>
            </w:pPr>
            <w:r>
              <w:rPr>
                <w:rFonts w:hint="eastAsia" w:ascii="微软雅黑" w:hAnsi="微软雅黑" w:eastAsia="微软雅黑"/>
                <w:b/>
              </w:rPr>
              <w:t>效果</w:t>
            </w:r>
          </w:p>
        </w:tc>
        <w:tc>
          <w:tcPr>
            <w:tcW w:w="2211" w:type="dxa"/>
            <w:tcBorders>
              <w:top w:val="single" w:color="000000" w:sz="4" w:space="0"/>
              <w:left w:val="single" w:color="000000" w:sz="4" w:space="0"/>
              <w:bottom w:val="single" w:color="000000" w:sz="4" w:space="0"/>
              <w:right w:val="single" w:color="000000" w:sz="4" w:space="0"/>
            </w:tcBorders>
            <w:shd w:val="clear" w:color="auto" w:fill="548DD4" w:themeFill="text2" w:themeFillTint="99"/>
            <w:vAlign w:val="center"/>
          </w:tcPr>
          <w:p w14:paraId="31EB2446">
            <w:pPr>
              <w:snapToGrid w:val="0"/>
              <w:spacing w:line="360" w:lineRule="auto"/>
              <w:jc w:val="center"/>
              <w:rPr>
                <w:rFonts w:ascii="微软雅黑" w:hAnsi="微软雅黑" w:eastAsia="微软雅黑"/>
                <w:b/>
              </w:rPr>
            </w:pPr>
            <w:r>
              <w:rPr>
                <w:rFonts w:hint="eastAsia" w:ascii="微软雅黑" w:hAnsi="微软雅黑" w:eastAsia="微软雅黑"/>
                <w:b/>
              </w:rPr>
              <w:t>评价机制</w:t>
            </w:r>
          </w:p>
        </w:tc>
      </w:tr>
      <w:tr w14:paraId="65156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tcBorders>
              <w:top w:val="single" w:color="000000" w:sz="4" w:space="0"/>
              <w:left w:val="single" w:color="000000" w:sz="4" w:space="0"/>
              <w:bottom w:val="single" w:color="000000" w:sz="4" w:space="0"/>
              <w:right w:val="single" w:color="auto" w:sz="4" w:space="0"/>
            </w:tcBorders>
            <w:shd w:val="clear" w:color="auto" w:fill="F2F2F2"/>
            <w:vAlign w:val="center"/>
          </w:tcPr>
          <w:p w14:paraId="3FE8A012">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内部</w:t>
            </w: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14:paraId="59067D3D">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员工</w:t>
            </w:r>
          </w:p>
        </w:tc>
        <w:tc>
          <w:tcPr>
            <w:tcW w:w="1840" w:type="dxa"/>
            <w:tcBorders>
              <w:top w:val="single" w:color="000000" w:sz="4" w:space="0"/>
              <w:left w:val="single" w:color="000000" w:sz="4" w:space="0"/>
              <w:right w:val="single" w:color="000000" w:sz="4" w:space="0"/>
            </w:tcBorders>
            <w:shd w:val="clear" w:color="auto" w:fill="F2F2F2"/>
            <w:vAlign w:val="center"/>
          </w:tcPr>
          <w:p w14:paraId="25B12230">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通讯平台、年会、培训、优秀文化案例等</w:t>
            </w:r>
          </w:p>
        </w:tc>
        <w:tc>
          <w:tcPr>
            <w:tcW w:w="2269" w:type="dxa"/>
            <w:tcBorders>
              <w:top w:val="single" w:color="000000" w:sz="4" w:space="0"/>
              <w:left w:val="single" w:color="000000" w:sz="4" w:space="0"/>
              <w:right w:val="single" w:color="000000" w:sz="4" w:space="0"/>
            </w:tcBorders>
            <w:shd w:val="clear" w:color="auto" w:fill="F2F2F2"/>
            <w:vAlign w:val="center"/>
          </w:tcPr>
          <w:p w14:paraId="74743419">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文化制度、活动展示、优秀文化案例、优秀员工事迹、高层讲文化与自身创业故事</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C0C29CA">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提高员工企业文化认知度、认同度、满意度</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D830185">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员工满意度调查、标杆员工等</w:t>
            </w:r>
          </w:p>
        </w:tc>
      </w:tr>
      <w:tr w14:paraId="06BE1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restart"/>
            <w:tcBorders>
              <w:top w:val="single" w:color="000000" w:sz="4" w:space="0"/>
              <w:left w:val="single" w:color="000000" w:sz="4" w:space="0"/>
              <w:bottom w:val="single" w:color="000000" w:sz="4" w:space="0"/>
              <w:right w:val="single" w:color="auto" w:sz="4" w:space="0"/>
            </w:tcBorders>
            <w:shd w:val="clear" w:color="auto" w:fill="F2F2F2"/>
            <w:vAlign w:val="center"/>
          </w:tcPr>
          <w:p w14:paraId="7448A5BE">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外部</w:t>
            </w: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14:paraId="7C7FD53D">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顾客</w:t>
            </w:r>
          </w:p>
        </w:tc>
        <w:tc>
          <w:tcPr>
            <w:tcW w:w="1840" w:type="dxa"/>
            <w:tcBorders>
              <w:top w:val="single" w:color="000000" w:sz="4" w:space="0"/>
              <w:left w:val="single" w:color="000000" w:sz="4" w:space="0"/>
              <w:right w:val="single" w:color="000000" w:sz="4" w:space="0"/>
            </w:tcBorders>
            <w:shd w:val="clear" w:color="auto" w:fill="F2F2F2"/>
            <w:vAlign w:val="center"/>
          </w:tcPr>
          <w:p w14:paraId="04748C2E">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展示厅、文化墙、文化案例传播、员工培训等</w:t>
            </w:r>
          </w:p>
        </w:tc>
        <w:tc>
          <w:tcPr>
            <w:tcW w:w="2269" w:type="dxa"/>
            <w:tcBorders>
              <w:top w:val="single" w:color="000000" w:sz="4" w:space="0"/>
              <w:left w:val="single" w:color="000000" w:sz="4" w:space="0"/>
              <w:right w:val="single" w:color="000000" w:sz="4" w:space="0"/>
            </w:tcBorders>
            <w:shd w:val="clear" w:color="auto" w:fill="F2F2F2"/>
            <w:vAlign w:val="center"/>
          </w:tcPr>
          <w:p w14:paraId="60DB9BCB">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文化动态、优秀文化案例、文化讲解、成果展示</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5211DE35">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提高客户公司文化认同度</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24163197">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满意度调查、企业文化认同等</w:t>
            </w:r>
          </w:p>
        </w:tc>
      </w:tr>
      <w:tr w14:paraId="1ACC1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14:paraId="1FA2AF1C">
            <w:pPr>
              <w:snapToGrid w:val="0"/>
              <w:spacing w:line="360" w:lineRule="auto"/>
              <w:rPr>
                <w:rFonts w:asciiTheme="minorEastAsia" w:hAnsiTheme="minorEastAsia" w:eastAsiaTheme="minorEastAsia" w:cstheme="minorEastAsia"/>
                <w:sz w:val="24"/>
                <w:szCs w:val="24"/>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14:paraId="2FABA5EC">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供方</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43047C8">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供应商会、官网等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296D2635">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质量文化、效率文化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4808B49">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质量承诺书的签订 </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3B7AC55">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提高交付效率和质量、文化落地情况和效果</w:t>
            </w:r>
          </w:p>
        </w:tc>
      </w:tr>
      <w:tr w14:paraId="05563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14:paraId="3E03DF55">
            <w:pPr>
              <w:snapToGrid w:val="0"/>
              <w:spacing w:line="360" w:lineRule="auto"/>
              <w:rPr>
                <w:rFonts w:asciiTheme="minorEastAsia" w:hAnsiTheme="minorEastAsia" w:eastAsiaTheme="minorEastAsia" w:cstheme="minorEastAsia"/>
                <w:sz w:val="24"/>
                <w:szCs w:val="24"/>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14:paraId="4029C239">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股东</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E53949D">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微信公众号、股东会等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60EF8C3E">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企业使命、企业愿景、</w:t>
            </w:r>
            <w:r>
              <w:rPr>
                <w:rFonts w:hint="eastAsia" w:asciiTheme="minorEastAsia" w:hAnsiTheme="minorEastAsia" w:eastAsiaTheme="minorEastAsia" w:cstheme="minorEastAsia"/>
                <w:sz w:val="24"/>
                <w:szCs w:val="24"/>
                <w:lang w:val="en-US"/>
              </w:rPr>
              <w:t>企业</w:t>
            </w:r>
            <w:r>
              <w:rPr>
                <w:rFonts w:hint="eastAsia" w:asciiTheme="minorEastAsia" w:hAnsiTheme="minorEastAsia" w:eastAsiaTheme="minorEastAsia" w:cstheme="minorEastAsia"/>
                <w:sz w:val="24"/>
                <w:szCs w:val="24"/>
              </w:rPr>
              <w:t>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CA48A34">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投资交流活动、文化之旅</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69CF1CB">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股东认可、投资交流频次</w:t>
            </w:r>
          </w:p>
        </w:tc>
      </w:tr>
      <w:tr w14:paraId="0C1FA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38" w:type="dxa"/>
            <w:vMerge w:val="continue"/>
            <w:tcBorders>
              <w:top w:val="single" w:color="000000" w:sz="4" w:space="0"/>
              <w:left w:val="single" w:color="000000" w:sz="4" w:space="0"/>
              <w:bottom w:val="single" w:color="000000" w:sz="4" w:space="0"/>
              <w:right w:val="single" w:color="auto" w:sz="4" w:space="0"/>
            </w:tcBorders>
            <w:shd w:val="clear" w:color="auto" w:fill="F2F2F2"/>
            <w:vAlign w:val="center"/>
          </w:tcPr>
          <w:p w14:paraId="6C53F079">
            <w:pPr>
              <w:snapToGrid w:val="0"/>
              <w:spacing w:line="360" w:lineRule="auto"/>
              <w:rPr>
                <w:rFonts w:asciiTheme="minorEastAsia" w:hAnsiTheme="minorEastAsia" w:eastAsiaTheme="minorEastAsia" w:cstheme="minorEastAsia"/>
                <w:sz w:val="24"/>
                <w:szCs w:val="24"/>
              </w:rPr>
            </w:pPr>
          </w:p>
        </w:tc>
        <w:tc>
          <w:tcPr>
            <w:tcW w:w="524" w:type="dxa"/>
            <w:tcBorders>
              <w:top w:val="single" w:color="000000" w:sz="4" w:space="0"/>
              <w:left w:val="single" w:color="auto" w:sz="4" w:space="0"/>
              <w:bottom w:val="single" w:color="000000" w:sz="4" w:space="0"/>
              <w:right w:val="single" w:color="000000" w:sz="4" w:space="0"/>
            </w:tcBorders>
            <w:shd w:val="clear" w:color="auto" w:fill="F2F2F2"/>
            <w:vAlign w:val="center"/>
          </w:tcPr>
          <w:p w14:paraId="702D9D48">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w:t>
            </w:r>
          </w:p>
        </w:tc>
        <w:tc>
          <w:tcPr>
            <w:tcW w:w="1840"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78FBBA66">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文化交流、企业文化交流等</w:t>
            </w:r>
          </w:p>
        </w:tc>
        <w:tc>
          <w:tcPr>
            <w:tcW w:w="2269"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1DEB09AA">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社会贡献、企业使命、企业愿景、党建文化</w:t>
            </w:r>
          </w:p>
        </w:tc>
        <w:tc>
          <w:tcPr>
            <w:tcW w:w="172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4E144DC8">
            <w:pPr>
              <w:snapToGrid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文化之旅、党建文化访问、企业文化访问</w:t>
            </w:r>
          </w:p>
        </w:tc>
        <w:tc>
          <w:tcPr>
            <w:tcW w:w="2211" w:type="dxa"/>
            <w:tcBorders>
              <w:top w:val="single" w:color="000000" w:sz="4" w:space="0"/>
              <w:left w:val="single" w:color="000000" w:sz="4" w:space="0"/>
              <w:bottom w:val="single" w:color="000000" w:sz="4" w:space="0"/>
              <w:right w:val="single" w:color="000000" w:sz="4" w:space="0"/>
            </w:tcBorders>
            <w:shd w:val="clear" w:color="auto" w:fill="F2F2F2"/>
            <w:vAlign w:val="center"/>
          </w:tcPr>
          <w:p w14:paraId="09EB253B">
            <w:pPr>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提升社会知名度、交流接待数量</w:t>
            </w:r>
          </w:p>
        </w:tc>
      </w:tr>
    </w:tbl>
    <w:p w14:paraId="6A89A19E">
      <w:pPr>
        <w:pStyle w:val="5"/>
        <w:spacing w:line="360" w:lineRule="auto"/>
        <w:ind w:right="359" w:firstLine="480"/>
        <w:jc w:val="both"/>
      </w:pPr>
      <w:r>
        <w:rPr>
          <w:rFonts w:hint="eastAsia"/>
        </w:rPr>
        <w:t>1）加强与员工及其他相关方的沟通</w:t>
      </w:r>
    </w:p>
    <w:p w14:paraId="49BEEB10">
      <w:pPr>
        <w:pStyle w:val="5"/>
        <w:spacing w:line="360" w:lineRule="auto"/>
        <w:ind w:right="359" w:firstLine="480"/>
        <w:jc w:val="both"/>
      </w:pPr>
      <w:r>
        <w:rPr>
          <w:rFonts w:hint="eastAsia"/>
        </w:rPr>
        <w:t>公司通过多种方式向股东、员工、客户、供应商等利益相关方传播企业文化，激励企业全员为实现公司战略目标而努力，也促使相关方充分理解公司经营理念。</w:t>
      </w:r>
    </w:p>
    <w:p w14:paraId="7549561A">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4</w:t>
      </w:r>
      <w:r>
        <w:t xml:space="preserve"> </w:t>
      </w:r>
      <w:r>
        <w:rPr>
          <w:rFonts w:hint="eastAsia"/>
        </w:rPr>
        <w:t>公司与相关方双向沟通方式</w:t>
      </w:r>
    </w:p>
    <w:tbl>
      <w:tblPr>
        <w:tblStyle w:val="10"/>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902"/>
      </w:tblGrid>
      <w:tr w14:paraId="63593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1" w:type="dxa"/>
            <w:shd w:val="clear" w:color="auto" w:fill="548DD4" w:themeFill="text2" w:themeFillTint="99"/>
            <w:vAlign w:val="center"/>
          </w:tcPr>
          <w:p w14:paraId="31D99147">
            <w:pPr>
              <w:spacing w:line="360" w:lineRule="auto"/>
              <w:jc w:val="center"/>
              <w:rPr>
                <w:rFonts w:ascii="微软雅黑" w:hAnsi="微软雅黑" w:eastAsia="微软雅黑" w:cs="Calibri"/>
                <w:b/>
                <w:szCs w:val="21"/>
              </w:rPr>
            </w:pPr>
            <w:r>
              <w:rPr>
                <w:rFonts w:hint="eastAsia" w:ascii="微软雅黑" w:hAnsi="微软雅黑" w:eastAsia="微软雅黑" w:cs="Calibri"/>
                <w:b/>
                <w:szCs w:val="21"/>
              </w:rPr>
              <w:t>对象</w:t>
            </w:r>
          </w:p>
        </w:tc>
        <w:tc>
          <w:tcPr>
            <w:tcW w:w="7902" w:type="dxa"/>
            <w:shd w:val="clear" w:color="auto" w:fill="548DD4" w:themeFill="text2" w:themeFillTint="99"/>
            <w:vAlign w:val="center"/>
          </w:tcPr>
          <w:p w14:paraId="3B235FB5">
            <w:pPr>
              <w:spacing w:line="360" w:lineRule="auto"/>
              <w:jc w:val="center"/>
              <w:rPr>
                <w:rFonts w:ascii="微软雅黑" w:hAnsi="微软雅黑" w:eastAsia="微软雅黑" w:cs="Calibri"/>
                <w:b/>
                <w:szCs w:val="21"/>
              </w:rPr>
            </w:pPr>
            <w:r>
              <w:rPr>
                <w:rFonts w:hint="eastAsia" w:ascii="微软雅黑" w:hAnsi="微软雅黑" w:eastAsia="微软雅黑" w:cs="Calibri"/>
                <w:b/>
                <w:szCs w:val="21"/>
              </w:rPr>
              <w:t>沟通方式</w:t>
            </w:r>
          </w:p>
        </w:tc>
      </w:tr>
      <w:tr w14:paraId="3382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2F2F2"/>
            <w:vAlign w:val="center"/>
          </w:tcPr>
          <w:p w14:paraId="5A31EC57">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员工</w:t>
            </w:r>
          </w:p>
        </w:tc>
        <w:tc>
          <w:tcPr>
            <w:tcW w:w="7902" w:type="dxa"/>
            <w:shd w:val="clear" w:color="auto" w:fill="F2F2F2"/>
            <w:vAlign w:val="center"/>
          </w:tcPr>
          <w:p w14:paraId="79B73523">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公司网站、《员工手册》、企业宣传册、企业文化墙、公司展厅、宣传片、宣传窗等</w:t>
            </w:r>
          </w:p>
        </w:tc>
      </w:tr>
      <w:tr w14:paraId="22A3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14:paraId="556EBDD7">
            <w:pPr>
              <w:spacing w:line="360" w:lineRule="auto"/>
              <w:rPr>
                <w:rFonts w:asciiTheme="minorEastAsia" w:hAnsiTheme="minorEastAsia" w:eastAsiaTheme="minorEastAsia" w:cstheme="minorEastAsia"/>
                <w:sz w:val="24"/>
                <w:szCs w:val="24"/>
              </w:rPr>
            </w:pPr>
          </w:p>
        </w:tc>
        <w:tc>
          <w:tcPr>
            <w:tcW w:w="7902" w:type="dxa"/>
            <w:shd w:val="clear" w:color="auto" w:fill="F2F2F2"/>
            <w:vAlign w:val="center"/>
          </w:tcPr>
          <w:p w14:paraId="7DF4D2C1">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电话、QQ、微信、大蚂蚁平台、电子邮件系统等</w:t>
            </w:r>
          </w:p>
        </w:tc>
      </w:tr>
      <w:tr w14:paraId="1A31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14:paraId="0B01EB58">
            <w:pPr>
              <w:spacing w:line="360" w:lineRule="auto"/>
              <w:rPr>
                <w:rFonts w:asciiTheme="minorEastAsia" w:hAnsiTheme="minorEastAsia" w:eastAsiaTheme="minorEastAsia" w:cstheme="minorEastAsia"/>
                <w:sz w:val="24"/>
                <w:szCs w:val="24"/>
              </w:rPr>
            </w:pPr>
          </w:p>
        </w:tc>
        <w:tc>
          <w:tcPr>
            <w:tcW w:w="7902" w:type="dxa"/>
            <w:shd w:val="clear" w:color="auto" w:fill="F2F2F2"/>
            <w:vAlign w:val="center"/>
          </w:tcPr>
          <w:p w14:paraId="6E16ED91">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新员工入职培训、企业文化培训、素质拓展训练、专业培训、技能培训等</w:t>
            </w:r>
          </w:p>
        </w:tc>
      </w:tr>
      <w:tr w14:paraId="21C94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14:paraId="055A0CFA">
            <w:pPr>
              <w:spacing w:line="360" w:lineRule="auto"/>
              <w:rPr>
                <w:rFonts w:asciiTheme="minorEastAsia" w:hAnsiTheme="minorEastAsia" w:eastAsiaTheme="minorEastAsia" w:cstheme="minorEastAsia"/>
                <w:sz w:val="24"/>
                <w:szCs w:val="24"/>
              </w:rPr>
            </w:pPr>
          </w:p>
        </w:tc>
        <w:tc>
          <w:tcPr>
            <w:tcW w:w="7902" w:type="dxa"/>
            <w:shd w:val="clear" w:color="auto" w:fill="F2F2F2"/>
            <w:vAlign w:val="center"/>
          </w:tcPr>
          <w:p w14:paraId="5318FD8D">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职工活动、联谊活动、文艺活动、旅游活动、公益活动等</w:t>
            </w:r>
          </w:p>
        </w:tc>
      </w:tr>
      <w:tr w14:paraId="13CB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2F2F2"/>
          </w:tcPr>
          <w:p w14:paraId="12C645CB">
            <w:pPr>
              <w:spacing w:line="360" w:lineRule="auto"/>
              <w:rPr>
                <w:rFonts w:asciiTheme="minorEastAsia" w:hAnsiTheme="minorEastAsia" w:eastAsiaTheme="minorEastAsia" w:cstheme="minorEastAsia"/>
                <w:sz w:val="24"/>
                <w:szCs w:val="24"/>
              </w:rPr>
            </w:pPr>
          </w:p>
        </w:tc>
        <w:tc>
          <w:tcPr>
            <w:tcW w:w="7902" w:type="dxa"/>
            <w:shd w:val="clear" w:color="auto" w:fill="F2F2F2"/>
            <w:vAlign w:val="center"/>
          </w:tcPr>
          <w:p w14:paraId="055133BC">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周例会、生产例会、营销例会、月度总结大会、年度总结大会等</w:t>
            </w:r>
          </w:p>
        </w:tc>
      </w:tr>
      <w:tr w14:paraId="7BDB7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14:paraId="2E29F684">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顾客</w:t>
            </w:r>
          </w:p>
        </w:tc>
        <w:tc>
          <w:tcPr>
            <w:tcW w:w="7902" w:type="dxa"/>
            <w:shd w:val="clear" w:color="auto" w:fill="F2F2F2"/>
            <w:vAlign w:val="center"/>
          </w:tcPr>
          <w:p w14:paraId="79F3F733">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展会沟通、企业宣传册、广告宣传、传真、电子邮件、新闻媒体、行业杂志、客户服务热线、、现场走访等</w:t>
            </w:r>
          </w:p>
        </w:tc>
      </w:tr>
      <w:tr w14:paraId="2833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14:paraId="35C8BD19">
            <w:pPr>
              <w:adjustRightInd w:val="0"/>
              <w:snapToGrid w:val="0"/>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股东</w:t>
            </w:r>
          </w:p>
        </w:tc>
        <w:tc>
          <w:tcPr>
            <w:tcW w:w="7902" w:type="dxa"/>
            <w:shd w:val="clear" w:color="auto" w:fill="F2F2F2"/>
            <w:vAlign w:val="center"/>
          </w:tcPr>
          <w:p w14:paraId="26F9AC2C">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股东大会、网站、报刊、各种财务报表、审计报告、新闻媒体宣传、个别沟通</w:t>
            </w:r>
          </w:p>
        </w:tc>
      </w:tr>
      <w:tr w14:paraId="4DE7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14:paraId="569FD2C5">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w:t>
            </w:r>
          </w:p>
        </w:tc>
        <w:tc>
          <w:tcPr>
            <w:tcW w:w="7902" w:type="dxa"/>
            <w:shd w:val="clear" w:color="auto" w:fill="F2F2F2"/>
            <w:vAlign w:val="center"/>
          </w:tcPr>
          <w:p w14:paraId="07C9E00D">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供应商实地考察、供应商评选、供应商会议、电话沟通、电子邮件等</w:t>
            </w:r>
          </w:p>
        </w:tc>
      </w:tr>
      <w:tr w14:paraId="42F2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14:paraId="77A4BCE0">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合作伙伴 </w:t>
            </w:r>
          </w:p>
        </w:tc>
        <w:tc>
          <w:tcPr>
            <w:tcW w:w="7902" w:type="dxa"/>
            <w:shd w:val="clear" w:color="auto" w:fill="F2F2F2"/>
            <w:vAlign w:val="center"/>
          </w:tcPr>
          <w:p w14:paraId="6251063D">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公司网站、新闻媒体、行业协会活动、项目开发等</w:t>
            </w:r>
          </w:p>
        </w:tc>
      </w:tr>
      <w:tr w14:paraId="23C8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shd w:val="clear" w:color="auto" w:fill="F2F2F2"/>
            <w:vAlign w:val="center"/>
          </w:tcPr>
          <w:p w14:paraId="3F74A9A3">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政府</w:t>
            </w:r>
          </w:p>
          <w:p w14:paraId="27EAFC0A">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公众</w:t>
            </w:r>
          </w:p>
        </w:tc>
        <w:tc>
          <w:tcPr>
            <w:tcW w:w="7902" w:type="dxa"/>
            <w:shd w:val="clear" w:color="auto" w:fill="F2F2F2"/>
            <w:vAlign w:val="center"/>
          </w:tcPr>
          <w:p w14:paraId="1F61ADEE">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工作汇报、项目评审、参观指导、接待相关人员来访、参加公益活动、慈善捐赠等、企业网站、企业刊物、宣传册、宣传片等</w:t>
            </w:r>
          </w:p>
        </w:tc>
      </w:tr>
    </w:tbl>
    <w:p w14:paraId="2C794B1E">
      <w:pPr>
        <w:pStyle w:val="5"/>
        <w:spacing w:line="360" w:lineRule="auto"/>
        <w:ind w:right="359" w:firstLine="480"/>
        <w:jc w:val="both"/>
      </w:pPr>
      <w:r>
        <w:rPr>
          <w:rFonts w:hint="eastAsia"/>
        </w:rPr>
        <w:t>2）激励员工以强化组织发展</w:t>
      </w:r>
    </w:p>
    <w:p w14:paraId="2A61CB62">
      <w:pPr>
        <w:pStyle w:val="5"/>
        <w:spacing w:line="360" w:lineRule="auto"/>
        <w:ind w:right="359" w:firstLine="480"/>
        <w:jc w:val="both"/>
      </w:pPr>
      <w:r>
        <w:rPr>
          <w:rFonts w:hint="eastAsia"/>
        </w:rPr>
        <w:t>为了激励员工的正确行为，公司从文化、制度和活动多方面进行了激励，鼓励员工的行为符合公司发展方向。</w:t>
      </w:r>
    </w:p>
    <w:p w14:paraId="6BB36EAE">
      <w:pPr>
        <w:pStyle w:val="5"/>
        <w:spacing w:line="360" w:lineRule="auto"/>
        <w:ind w:right="359" w:firstLine="480"/>
        <w:jc w:val="both"/>
      </w:pPr>
      <w:r>
        <w:rPr>
          <w:rFonts w:hint="eastAsia"/>
        </w:rPr>
        <w:t>文化激励：</w:t>
      </w:r>
      <w:r>
        <w:rPr>
          <w:rFonts w:hint="eastAsia"/>
          <w:lang w:eastAsia="zh-CN"/>
        </w:rPr>
        <w:t>公司的管理宗旨以“以人为本，追求卓越”为出发点，通过培养 提高、引进加强、调配优化、激励保障，最大限度调动一切积极因素， 创造优秀人才发展的良好环境，为公司高效运作、持续健康发展提供保障</w:t>
      </w:r>
      <w:r>
        <w:rPr>
          <w:rFonts w:hint="eastAsia"/>
        </w:rPr>
        <w:t>努力营造以人为本、和谐共事、快乐工作、激情创业、健康生活的氛围，真正形成团结和谐谋发展、众志成城创大业的合力，实现企业和员工的文明、和谐、科学、有效的发展。正确、扎实、快速、有效应该是</w:t>
      </w:r>
      <w:r>
        <w:rPr>
          <w:rFonts w:hint="eastAsia"/>
          <w:lang w:eastAsia="zh-CN"/>
        </w:rPr>
        <w:t>巨东</w:t>
      </w:r>
      <w:r>
        <w:rPr>
          <w:rFonts w:hint="eastAsia"/>
        </w:rPr>
        <w:t>的工作风格，在保证事情做对的前提下，实现行事高品质、高效率、低成本，那最后的高效益就会成为必然。</w:t>
      </w:r>
    </w:p>
    <w:p w14:paraId="5558F037">
      <w:pPr>
        <w:pStyle w:val="5"/>
        <w:spacing w:line="360" w:lineRule="auto"/>
        <w:ind w:right="359" w:firstLine="480"/>
        <w:jc w:val="both"/>
      </w:pPr>
      <w:r>
        <w:rPr>
          <w:rFonts w:hint="eastAsia"/>
        </w:rPr>
        <w:t>制度激励：公司制定了员工手册，规范员工行为，并通过制定各种奖励制度，鼓励员工表现公司期待的行为。如供应商管理制度、廉政文化建设制度等。</w:t>
      </w:r>
    </w:p>
    <w:p w14:paraId="244C3D3F">
      <w:pPr>
        <w:pStyle w:val="5"/>
        <w:spacing w:line="360" w:lineRule="auto"/>
        <w:ind w:right="359" w:firstLine="480"/>
        <w:jc w:val="both"/>
      </w:pPr>
      <w:r>
        <w:rPr>
          <w:rFonts w:hint="eastAsia"/>
        </w:rPr>
        <w:t>物质激励：为鼓励全体员工实现卓越绩效的活动，强化公司未来的发展方向和发展重点，公司设立了优秀员工、优秀团队、创新奖等荣誉，为员工的优秀表现给予精神奖励及物质奖励。在供应商与顾客方面，公司定期评级，根据评级结果相应提供增值性服务，以增进双方友谊，朝着对双方都有利的方向迈进。</w:t>
      </w:r>
    </w:p>
    <w:p w14:paraId="2BFBB3ED">
      <w:pPr>
        <w:pStyle w:val="5"/>
        <w:spacing w:line="360" w:lineRule="auto"/>
        <w:ind w:right="359" w:firstLine="480"/>
        <w:jc w:val="both"/>
      </w:pPr>
      <w:r>
        <w:rPr>
          <w:rFonts w:hint="eastAsia"/>
        </w:rPr>
        <w:t>c）营造良好的内部经营环境</w:t>
      </w:r>
    </w:p>
    <w:p w14:paraId="04C16B0B">
      <w:pPr>
        <w:pStyle w:val="5"/>
        <w:spacing w:line="360" w:lineRule="auto"/>
        <w:ind w:right="359" w:firstLine="480"/>
        <w:jc w:val="both"/>
      </w:pPr>
      <w:r>
        <w:rPr>
          <w:rFonts w:hint="eastAsia"/>
        </w:rPr>
        <w:t>1）创造诚信守法的环境</w:t>
      </w:r>
    </w:p>
    <w:p w14:paraId="2E79CD5A">
      <w:pPr>
        <w:pStyle w:val="5"/>
        <w:spacing w:line="360" w:lineRule="auto"/>
        <w:ind w:right="359" w:firstLine="480"/>
        <w:jc w:val="both"/>
      </w:pPr>
      <w:r>
        <w:rPr>
          <w:rFonts w:hint="eastAsia"/>
        </w:rPr>
        <w:t>公司高层领导致力于营造守法重德的环境，坚持战略引领、创新驱动、以人为本、追求卓越、遵纪守法、依法纳税。公司每年组织各部门开展法律法规监督与检查，严格遵守国家的法律法规，建立商业行为准则和员工商业行为规范。公司一直践行廉政文化，逐步完善制度，规范公司及员工行为。此外，公司定期接受国外多家知名品牌客户验厂，不断完善诚信守法体系。</w:t>
      </w:r>
    </w:p>
    <w:p w14:paraId="5B3ED180">
      <w:pPr>
        <w:pStyle w:val="5"/>
        <w:spacing w:line="360" w:lineRule="auto"/>
        <w:ind w:right="359" w:firstLine="480"/>
        <w:jc w:val="both"/>
      </w:pPr>
      <w:r>
        <w:rPr>
          <w:rFonts w:hint="eastAsia"/>
        </w:rPr>
        <w:t>公司通过各种方式对合作方实施影响，例如，公司以合同的形式规范供应商行为，通过对供应商的审计评价，认定其供应资格。近几年来，公司没有发生一件诉讼或纠纷。</w:t>
      </w:r>
    </w:p>
    <w:p w14:paraId="1CEB709A">
      <w:pPr>
        <w:pStyle w:val="5"/>
        <w:spacing w:line="360" w:lineRule="auto"/>
        <w:ind w:right="359" w:firstLine="480"/>
        <w:jc w:val="both"/>
      </w:pPr>
      <w:r>
        <w:rPr>
          <w:rFonts w:hint="eastAsia"/>
        </w:rPr>
        <w:t>公司坚信诚为做人之源，信为立业之本是企业做大做强的根本，求真务实的思想作风是企业对社会、客户、员工等责任承诺的保障基础。在公司内部企业、部门、员工之间都要讲诚信、守承诺，相互信赖、相互支持；在外部则是做事业要务实，注重长期经营，坚持合作共赢，承担社会责任，关注节能环保问题，成为行业节能环保先行者。</w:t>
      </w:r>
    </w:p>
    <w:p w14:paraId="0A0C621A">
      <w:pPr>
        <w:pStyle w:val="5"/>
        <w:spacing w:line="360" w:lineRule="auto"/>
        <w:ind w:right="359" w:firstLine="480"/>
        <w:jc w:val="both"/>
      </w:pPr>
      <w:r>
        <w:rPr>
          <w:rFonts w:hint="eastAsia"/>
        </w:rPr>
        <w:t>2）</w:t>
      </w:r>
      <w:r>
        <w:t>创建有利</w:t>
      </w:r>
      <w:r>
        <w:rPr>
          <w:rFonts w:hint="eastAsia"/>
        </w:rPr>
        <w:t>于改进和</w:t>
      </w:r>
      <w:r>
        <w:t>创新的环境</w:t>
      </w:r>
    </w:p>
    <w:p w14:paraId="7637EAFE">
      <w:pPr>
        <w:pStyle w:val="5"/>
        <w:spacing w:line="360" w:lineRule="auto"/>
        <w:ind w:right="359" w:firstLine="480"/>
        <w:jc w:val="both"/>
      </w:pPr>
      <w:r>
        <w:rPr>
          <w:rFonts w:hint="eastAsia"/>
          <w:lang w:eastAsia="zh-CN"/>
        </w:rPr>
        <w:t>巨东</w:t>
      </w:r>
      <w:r>
        <w:t>的快速发展离不开</w:t>
      </w:r>
      <w:r>
        <w:rPr>
          <w:rFonts w:hint="eastAsia"/>
          <w:lang w:val="en-US"/>
        </w:rPr>
        <w:t>管理层</w:t>
      </w:r>
      <w:r>
        <w:t>的</w:t>
      </w:r>
      <w:r>
        <w:rPr>
          <w:rFonts w:hint="eastAsia"/>
        </w:rPr>
        <w:t>不断创新的思维和实践，正是由于</w:t>
      </w:r>
      <w:r>
        <w:rPr>
          <w:rFonts w:hint="eastAsia"/>
          <w:lang w:eastAsia="zh-CN"/>
        </w:rPr>
        <w:t>巨东</w:t>
      </w:r>
      <w:r>
        <w:rPr>
          <w:rFonts w:hint="eastAsia"/>
        </w:rPr>
        <w:t>的发展动力来自于源源不断的创新，使得创新意识已植根于企业文化，并不断促进公司的发展。</w:t>
      </w:r>
    </w:p>
    <w:p w14:paraId="44DC6469">
      <w:pPr>
        <w:pStyle w:val="5"/>
        <w:spacing w:line="360" w:lineRule="auto"/>
        <w:ind w:right="359" w:firstLine="480"/>
        <w:jc w:val="both"/>
      </w:pPr>
      <w:r>
        <w:rPr>
          <w:rFonts w:hint="eastAsia"/>
        </w:rPr>
        <w:t>科技创新环境的营造</w:t>
      </w:r>
    </w:p>
    <w:p w14:paraId="153CCC87">
      <w:pPr>
        <w:pStyle w:val="5"/>
        <w:spacing w:line="360" w:lineRule="auto"/>
        <w:ind w:right="359" w:firstLine="480"/>
        <w:jc w:val="both"/>
      </w:pPr>
      <w:r>
        <w:rPr>
          <w:rFonts w:hint="eastAsia"/>
        </w:rPr>
        <w:t>公司是“浙江省绿色企业”。自成立以来，就重视技术的先进性。公司现有产品是在吸收国内外先进技术的基础上，通过不断优化创新自主研发拥有自主知识产权，主要经济、技术指标均居国内先进水平。公司铝合 金铸件获杰出品牌十强称号。公司积极加入再生资源产业技术创新战略联盟，并成为理事单位，为公司技术创新获取更多资源与信息。 在公司技术开发人员自主研发新产品的同时，并积极和相关行业 的机构，如马来西亚、韩国、日本等合作伙伴开展废铜、废铝等拆解 与贸易业务合作。公司属于再生资源综合利用行业，环境问题相对特 殊。但是，巨东股份一直非常重视环境保护工作，对生产过程中产生 的“三废”投入资金用于防治工作，取得了一定的实效。此外，为了 加强对环保工作的管理，企业制定了一系列相关的规章制度，落实了专管人员。公司厂区地下水、土壤委托第三方检验机构检测，均符合 国家相关标准。 公司在注重产品质量的同时，还注重拆解工艺及装备的研发，公 司获得中国科技部颁发的废电线电缆、废五金拆解利用成套设备开发 示范单位称号。</w:t>
      </w:r>
    </w:p>
    <w:p w14:paraId="2A2C9EA4">
      <w:pPr>
        <w:pStyle w:val="5"/>
        <w:spacing w:line="360" w:lineRule="auto"/>
        <w:ind w:right="359" w:firstLine="480"/>
        <w:jc w:val="both"/>
      </w:pPr>
      <w:r>
        <w:rPr>
          <w:rFonts w:hint="eastAsia"/>
        </w:rPr>
        <w:t>公司建立了完善的财务分析制度，充分收集有关财务、销售、市场、技术、政策、法律等方面的有关信息资料，根据不同情况分别采用比较分析、因素分析、平衡分析等方法。跟踪检查</w:t>
      </w:r>
      <w:r>
        <w:rPr>
          <w:rFonts w:hint="eastAsia"/>
          <w:lang w:val="en-US"/>
        </w:rPr>
        <w:t>公司</w:t>
      </w:r>
      <w:r>
        <w:rPr>
          <w:rFonts w:hint="eastAsia"/>
        </w:rPr>
        <w:t>资金计划执行情况，有效控制资金使用，使公司实时掌握资金情况并根据各种需求做出调整。</w:t>
      </w:r>
    </w:p>
    <w:p w14:paraId="3C781BD7">
      <w:pPr>
        <w:pStyle w:val="5"/>
        <w:spacing w:line="360" w:lineRule="auto"/>
        <w:ind w:right="359" w:firstLine="480"/>
        <w:jc w:val="both"/>
      </w:pPr>
      <w:r>
        <w:rPr>
          <w:rFonts w:hint="eastAsia"/>
        </w:rPr>
        <w:t>在人员激励上，为鼓励技术人员的创造性，企业制订相应的激励措施，对围绕企业生产能力有关产品，新开发研究成功的全新产品，直接给予资金奖励。同时，将产品的新创意、新技艺等方面列入技术部人员绩效考核的指标内容，极大地调动了</w:t>
      </w:r>
      <w:r>
        <w:rPr>
          <w:rFonts w:hint="eastAsia"/>
          <w:lang w:val="en-US"/>
        </w:rPr>
        <w:t>研发</w:t>
      </w:r>
      <w:r>
        <w:rPr>
          <w:rFonts w:hint="eastAsia"/>
        </w:rPr>
        <w:t>人员致力新产品开发和研制的工作热情。</w:t>
      </w:r>
    </w:p>
    <w:p w14:paraId="653A8F57">
      <w:pPr>
        <w:pStyle w:val="5"/>
        <w:spacing w:line="360" w:lineRule="auto"/>
        <w:ind w:right="359" w:firstLine="480"/>
        <w:jc w:val="both"/>
      </w:pPr>
      <w:r>
        <w:rPr>
          <w:rFonts w:hint="eastAsia"/>
        </w:rPr>
        <w:t>管理创新环境的营造</w:t>
      </w:r>
    </w:p>
    <w:p w14:paraId="035E9290">
      <w:pPr>
        <w:pStyle w:val="5"/>
        <w:spacing w:line="360" w:lineRule="auto"/>
        <w:ind w:right="359" w:firstLine="480"/>
        <w:jc w:val="both"/>
      </w:pPr>
      <w:r>
        <w:rPr>
          <w:rFonts w:hint="eastAsia"/>
        </w:rPr>
        <w:t>管理创新：此外，为</w:t>
      </w:r>
      <w:r>
        <w:t>推进企业</w:t>
      </w:r>
      <w:r>
        <w:rPr>
          <w:rFonts w:hint="eastAsia"/>
        </w:rPr>
        <w:t>生产经营、技术创新、制度建设、内部管理等，公司规定合理化建议范围及奖励方式等。该管理办法</w:t>
      </w:r>
      <w:r>
        <w:t>为员工合理化建议提供了良好的实施环境，极大地鼓舞了员工争做创新标杆的士气。</w:t>
      </w:r>
    </w:p>
    <w:p w14:paraId="58166826">
      <w:pPr>
        <w:pStyle w:val="5"/>
        <w:spacing w:line="360" w:lineRule="auto"/>
        <w:ind w:right="359" w:firstLine="480"/>
        <w:jc w:val="both"/>
      </w:pPr>
      <w:r>
        <w:rPr>
          <w:rFonts w:hint="eastAsia"/>
        </w:rPr>
        <w:t>企业内部有利于改进和创新环境的建立，使企业产品质量、服务以及内部管理有了新的提高，品牌效益初步显现，奠定了</w:t>
      </w:r>
      <w:r>
        <w:rPr>
          <w:rFonts w:hint="eastAsia"/>
          <w:lang w:eastAsia="zh-CN"/>
        </w:rPr>
        <w:t>巨东</w:t>
      </w:r>
      <w:r>
        <w:rPr>
          <w:rFonts w:hint="eastAsia"/>
        </w:rPr>
        <w:t>品牌</w:t>
      </w:r>
      <w:r>
        <w:rPr>
          <w:rFonts w:hint="eastAsia"/>
          <w:lang w:val="en-US" w:eastAsia="zh-CN"/>
        </w:rPr>
        <w:t>在</w:t>
      </w:r>
      <w:r>
        <w:rPr>
          <w:rFonts w:hint="eastAsia"/>
        </w:rPr>
        <w:t>行业的领</w:t>
      </w:r>
      <w:r>
        <w:rPr>
          <w:rFonts w:hint="eastAsia"/>
          <w:lang w:val="en-US"/>
        </w:rPr>
        <w:t>先</w:t>
      </w:r>
      <w:r>
        <w:rPr>
          <w:rFonts w:hint="eastAsia"/>
        </w:rPr>
        <w:t>地位。</w:t>
      </w:r>
    </w:p>
    <w:p w14:paraId="2754782B">
      <w:pPr>
        <w:pStyle w:val="5"/>
        <w:spacing w:line="360" w:lineRule="auto"/>
        <w:ind w:right="359" w:firstLine="480"/>
        <w:jc w:val="both"/>
      </w:pPr>
      <w:r>
        <w:rPr>
          <w:rFonts w:hint="eastAsia"/>
        </w:rPr>
        <w:t>3）营造快速反应的环境</w:t>
      </w:r>
    </w:p>
    <w:p w14:paraId="3CB5712D">
      <w:pPr>
        <w:pStyle w:val="5"/>
        <w:spacing w:line="360" w:lineRule="auto"/>
        <w:ind w:right="359" w:firstLine="480"/>
        <w:jc w:val="both"/>
      </w:pPr>
      <w:r>
        <w:rPr>
          <w:rFonts w:hint="eastAsia"/>
          <w:lang w:eastAsia="zh-CN"/>
        </w:rPr>
        <w:t>巨东</w:t>
      </w:r>
      <w:r>
        <w:rPr>
          <w:rFonts w:hint="eastAsia"/>
        </w:rPr>
        <w:t>秉持“反应迅速、计划周密、执行有力”的行事理念高效处理各项事务。高层领导以顾客和市场、员工为中心，推行“快速反应”的管理原则，建立快速反应机制。</w:t>
      </w:r>
    </w:p>
    <w:p w14:paraId="3E20739E">
      <w:pPr>
        <w:pStyle w:val="5"/>
        <w:spacing w:line="360" w:lineRule="auto"/>
        <w:ind w:right="359" w:firstLine="480"/>
        <w:jc w:val="both"/>
      </w:pPr>
      <w:r>
        <w:rPr>
          <w:rFonts w:hint="eastAsia"/>
        </w:rPr>
        <w:t>对于内部员工，建立覆盖各种紧急情况的应急预案，并开展应急演练，培育员工的危机处理意识和能力，实现对意外情况的快速处理，例如顾客投诉应急处理预案、火灾、停电等紧急处理预案等。</w:t>
      </w:r>
    </w:p>
    <w:p w14:paraId="28AFC976">
      <w:pPr>
        <w:pStyle w:val="5"/>
        <w:spacing w:line="360" w:lineRule="auto"/>
        <w:ind w:right="359" w:firstLine="480"/>
        <w:jc w:val="both"/>
      </w:pPr>
      <w:r>
        <w:rPr>
          <w:rFonts w:hint="eastAsia"/>
        </w:rPr>
        <w:t>在组织结构方面，建立扁平化的组织结构，通过缩短指令向下传达或信息向上传递的层级，提升组织的响应速度，通过构建信息化办公系统，为实现将财务、销售、</w:t>
      </w:r>
      <w:r>
        <w:rPr>
          <w:rFonts w:hint="eastAsia"/>
          <w:lang w:val="en-US"/>
        </w:rPr>
        <w:t>仓库</w:t>
      </w:r>
      <w:r>
        <w:rPr>
          <w:rFonts w:hint="eastAsia"/>
        </w:rPr>
        <w:t>、物流等业务实现一体化管理，持续高效运营，识别和开发并及时、准确的获取相关信息和知识资源，通过企业微信</w:t>
      </w:r>
      <w:r>
        <w:t>号</w:t>
      </w:r>
      <w:r>
        <w:rPr>
          <w:rFonts w:hint="eastAsia" w:ascii="Arial" w:hAnsi="Arial"/>
          <w:szCs w:val="22"/>
        </w:rPr>
        <w:t>、项目攻关</w:t>
      </w:r>
      <w:r>
        <w:rPr>
          <w:rFonts w:hint="eastAsia"/>
        </w:rPr>
        <w:t>等</w:t>
      </w:r>
      <w:r>
        <w:t>方式</w:t>
      </w:r>
      <w:r>
        <w:rPr>
          <w:rFonts w:hint="eastAsia"/>
        </w:rPr>
        <w:t>，实现信息资源有效传递和应用，科学、高效</w:t>
      </w:r>
      <w:r>
        <w:t>的</w:t>
      </w:r>
      <w:r>
        <w:rPr>
          <w:rFonts w:hint="eastAsia"/>
        </w:rPr>
        <w:t>资源</w:t>
      </w:r>
      <w:r>
        <w:t>管理</w:t>
      </w:r>
      <w:r>
        <w:rPr>
          <w:rFonts w:hint="eastAsia"/>
        </w:rPr>
        <w:t>成为公司持续</w:t>
      </w:r>
      <w:r>
        <w:t>、稳定发展</w:t>
      </w:r>
      <w:r>
        <w:rPr>
          <w:rFonts w:hint="eastAsia"/>
        </w:rPr>
        <w:t>，以及</w:t>
      </w:r>
      <w:r>
        <w:t>提升</w:t>
      </w:r>
      <w:r>
        <w:rPr>
          <w:rFonts w:hint="eastAsia"/>
        </w:rPr>
        <w:t>核心</w:t>
      </w:r>
      <w:r>
        <w:t>竞争</w:t>
      </w:r>
      <w:r>
        <w:rPr>
          <w:rFonts w:hint="eastAsia"/>
        </w:rPr>
        <w:t>的</w:t>
      </w:r>
      <w:r>
        <w:t>有力保障</w:t>
      </w:r>
      <w:r>
        <w:rPr>
          <w:rFonts w:hint="eastAsia"/>
        </w:rPr>
        <w:t>。</w:t>
      </w:r>
    </w:p>
    <w:p w14:paraId="76433C17">
      <w:pPr>
        <w:pStyle w:val="5"/>
        <w:spacing w:line="360" w:lineRule="auto"/>
        <w:ind w:right="359" w:firstLine="480"/>
        <w:jc w:val="both"/>
      </w:pPr>
      <w:r>
        <w:rPr>
          <w:rFonts w:hint="eastAsia"/>
        </w:rPr>
        <w:t>在工作方面，通过优化业务流程，引进先进的软硬件和技术人才，提升新品的开发速度。目前，公司新产品开发速度在业内处于领先水平。针对外部事件，及时进行危机处理，召开营销会议等活动进行应急战略、战术调整，高效对各环境变化做出反应。</w:t>
      </w:r>
    </w:p>
    <w:p w14:paraId="799AF337">
      <w:pPr>
        <w:pStyle w:val="5"/>
        <w:spacing w:line="360" w:lineRule="auto"/>
        <w:ind w:right="359" w:firstLine="480"/>
        <w:jc w:val="both"/>
      </w:pPr>
      <w:r>
        <w:rPr>
          <w:rFonts w:hint="eastAsia"/>
        </w:rPr>
        <w:t>4）营造全员学习的环境</w:t>
      </w:r>
    </w:p>
    <w:p w14:paraId="73AD3D07">
      <w:pPr>
        <w:pStyle w:val="5"/>
        <w:spacing w:line="360" w:lineRule="auto"/>
        <w:ind w:right="359" w:firstLine="480"/>
        <w:jc w:val="both"/>
      </w:pPr>
      <w:r>
        <w:rPr>
          <w:rFonts w:hint="eastAsia"/>
        </w:rPr>
        <w:t>公司领导非常重视员工的培训和学习，积极建设学习型组织，构建了“多层级培训发展体系”，针对高层、中层、基层、专业人员、新员工等开展丰富多样的培训活动。并采用外派与内训、线上线下相结合方式给予员工最全面、便捷的学习途径。为了创造一个更好的环境，公司</w:t>
      </w:r>
      <w:r>
        <w:t>配备</w:t>
      </w:r>
      <w:r>
        <w:rPr>
          <w:rFonts w:hint="eastAsia"/>
        </w:rPr>
        <w:t>了</w:t>
      </w:r>
      <w:r>
        <w:t>先进的多媒体教学设施，宽敞舒适的学习环境，完善的培训教学的软件资源。</w:t>
      </w:r>
    </w:p>
    <w:p w14:paraId="1F7D8CAD">
      <w:pPr>
        <w:pStyle w:val="5"/>
        <w:spacing w:line="360" w:lineRule="auto"/>
        <w:ind w:right="359" w:firstLine="480"/>
        <w:jc w:val="both"/>
      </w:pPr>
      <w:r>
        <w:rPr>
          <w:rFonts w:hint="eastAsia"/>
        </w:rPr>
        <w:t>为保证准确的识别培训需求、制定并实施培训计划，公司每年发放《公司员工培训需求调查表》，以此收集各部门员工的培训需求，并以此制定培训计划。依据总体培训规划，公司明确了分级培训体系，分别针对高管人员、中层人员和基层人员确定相应的培训内容及培训方式，使得培训项目的实施更加符合公司整体战略发展规划。</w:t>
      </w:r>
    </w:p>
    <w:p w14:paraId="2FED755F">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5</w:t>
      </w:r>
      <w:r>
        <w:rPr>
          <w:rFonts w:hint="eastAsia"/>
        </w:rPr>
        <w:t xml:space="preserve">  </w:t>
      </w:r>
      <w:r>
        <w:t>培训层级体系表</w:t>
      </w:r>
    </w:p>
    <w:tbl>
      <w:tblPr>
        <w:tblStyle w:val="10"/>
        <w:tblW w:w="9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4808"/>
        <w:gridCol w:w="3414"/>
      </w:tblGrid>
      <w:tr w14:paraId="3659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jc w:val="center"/>
        </w:trPr>
        <w:tc>
          <w:tcPr>
            <w:tcW w:w="1231" w:type="dxa"/>
            <w:shd w:val="clear" w:color="auto" w:fill="548DD4" w:themeFill="text2" w:themeFillTint="99"/>
            <w:vAlign w:val="center"/>
          </w:tcPr>
          <w:p w14:paraId="7427469C">
            <w:pPr>
              <w:spacing w:line="360" w:lineRule="auto"/>
              <w:jc w:val="center"/>
              <w:rPr>
                <w:rFonts w:ascii="微软雅黑" w:hAnsi="微软雅黑" w:eastAsia="微软雅黑"/>
                <w:b/>
                <w:szCs w:val="18"/>
              </w:rPr>
            </w:pPr>
            <w:r>
              <w:rPr>
                <w:rFonts w:ascii="微软雅黑" w:hAnsi="微软雅黑" w:eastAsia="微软雅黑"/>
                <w:b/>
                <w:szCs w:val="18"/>
              </w:rPr>
              <w:t>培训级别</w:t>
            </w:r>
          </w:p>
        </w:tc>
        <w:tc>
          <w:tcPr>
            <w:tcW w:w="4808" w:type="dxa"/>
            <w:shd w:val="clear" w:color="auto" w:fill="548DD4" w:themeFill="text2" w:themeFillTint="99"/>
            <w:vAlign w:val="center"/>
          </w:tcPr>
          <w:p w14:paraId="658FAC92">
            <w:pPr>
              <w:spacing w:line="360" w:lineRule="auto"/>
              <w:jc w:val="center"/>
              <w:rPr>
                <w:rFonts w:ascii="微软雅黑" w:hAnsi="微软雅黑" w:eastAsia="微软雅黑"/>
                <w:b/>
                <w:szCs w:val="18"/>
              </w:rPr>
            </w:pPr>
            <w:r>
              <w:rPr>
                <w:rFonts w:ascii="微软雅黑" w:hAnsi="微软雅黑" w:eastAsia="微软雅黑"/>
                <w:b/>
                <w:szCs w:val="18"/>
              </w:rPr>
              <w:t>主要培训内容</w:t>
            </w:r>
          </w:p>
        </w:tc>
        <w:tc>
          <w:tcPr>
            <w:tcW w:w="3414" w:type="dxa"/>
            <w:shd w:val="clear" w:color="auto" w:fill="548DD4" w:themeFill="text2" w:themeFillTint="99"/>
            <w:vAlign w:val="center"/>
          </w:tcPr>
          <w:p w14:paraId="387E786D">
            <w:pPr>
              <w:spacing w:line="360" w:lineRule="auto"/>
              <w:jc w:val="center"/>
              <w:rPr>
                <w:rFonts w:ascii="微软雅黑" w:hAnsi="微软雅黑" w:eastAsia="微软雅黑"/>
                <w:b/>
                <w:szCs w:val="18"/>
              </w:rPr>
            </w:pPr>
            <w:r>
              <w:rPr>
                <w:rFonts w:ascii="微软雅黑" w:hAnsi="微软雅黑" w:eastAsia="微软雅黑"/>
                <w:b/>
                <w:szCs w:val="18"/>
              </w:rPr>
              <w:t>培训方式</w:t>
            </w:r>
          </w:p>
        </w:tc>
      </w:tr>
      <w:tr w14:paraId="42A9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31" w:type="dxa"/>
            <w:shd w:val="clear" w:color="auto" w:fill="F2F2F2"/>
            <w:vAlign w:val="center"/>
          </w:tcPr>
          <w:p w14:paraId="20874E96">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高管人员</w:t>
            </w:r>
          </w:p>
        </w:tc>
        <w:tc>
          <w:tcPr>
            <w:tcW w:w="4808" w:type="dxa"/>
            <w:shd w:val="clear" w:color="auto" w:fill="F2F2F2"/>
            <w:vAlign w:val="center"/>
          </w:tcPr>
          <w:p w14:paraId="7E3CAE3D">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侧重于观念、理念方面，此外还有市场经济所要求的系统管理理论和技能，如管理学、组织行为学、市场营销、企业经营战略、企业经营过程控制、领导科学与艺术等。</w:t>
            </w:r>
          </w:p>
        </w:tc>
        <w:tc>
          <w:tcPr>
            <w:tcW w:w="3414" w:type="dxa"/>
            <w:shd w:val="clear" w:color="auto" w:fill="F2F2F2"/>
            <w:vAlign w:val="center"/>
          </w:tcPr>
          <w:p w14:paraId="50A41A62">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以外派培训为主。诸如，有计划地安排高层管理者参加MBA学习、高级论坛、赴外地考察等等。</w:t>
            </w:r>
          </w:p>
        </w:tc>
      </w:tr>
      <w:tr w14:paraId="1E5A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231" w:type="dxa"/>
            <w:shd w:val="clear" w:color="auto" w:fill="F2F2F2"/>
            <w:vAlign w:val="center"/>
          </w:tcPr>
          <w:p w14:paraId="4D2B1B2D">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中层人员</w:t>
            </w:r>
          </w:p>
        </w:tc>
        <w:tc>
          <w:tcPr>
            <w:tcW w:w="4808" w:type="dxa"/>
            <w:shd w:val="clear" w:color="auto" w:fill="F2F2F2"/>
            <w:vAlign w:val="center"/>
          </w:tcPr>
          <w:p w14:paraId="05619AB2">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管理基本知识与技能：管理学、组织行为学、人力资源开发与管理、市场学、领导科学与艺术等课程。</w:t>
            </w:r>
          </w:p>
          <w:p w14:paraId="14BA03D6">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业务知识与技能：负责的业务领域如技术、销售等领域的知识与技能。</w:t>
            </w:r>
          </w:p>
          <w:p w14:paraId="769B5B6F">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工作改进：工作分配、工作方法的改进、工作流程的改进。</w:t>
            </w:r>
          </w:p>
        </w:tc>
        <w:tc>
          <w:tcPr>
            <w:tcW w:w="3414" w:type="dxa"/>
            <w:shd w:val="clear" w:color="auto" w:fill="F2F2F2"/>
            <w:vAlign w:val="center"/>
          </w:tcPr>
          <w:p w14:paraId="6319A2C7">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以公司内训为主，外训为辅。</w:t>
            </w:r>
          </w:p>
        </w:tc>
      </w:tr>
      <w:tr w14:paraId="7E61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31" w:type="dxa"/>
            <w:shd w:val="clear" w:color="auto" w:fill="F2F2F2"/>
            <w:vAlign w:val="center"/>
          </w:tcPr>
          <w:p w14:paraId="521CEF28">
            <w:pPr>
              <w:spacing w:line="360" w:lineRule="auto"/>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基层人员</w:t>
            </w:r>
          </w:p>
        </w:tc>
        <w:tc>
          <w:tcPr>
            <w:tcW w:w="4808" w:type="dxa"/>
            <w:shd w:val="clear" w:color="auto" w:fill="F2F2F2"/>
            <w:vAlign w:val="center"/>
          </w:tcPr>
          <w:p w14:paraId="296568A3">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针对在岗员工岗位职责、专业技能、操作规程、业务流程等进行反复强化培训，以使员工在充分掌握理论的基础上，能自由地应用、发挥、提高。</w:t>
            </w:r>
          </w:p>
        </w:tc>
        <w:tc>
          <w:tcPr>
            <w:tcW w:w="3414" w:type="dxa"/>
            <w:shd w:val="clear" w:color="auto" w:fill="F2F2F2"/>
            <w:vAlign w:val="center"/>
          </w:tcPr>
          <w:p w14:paraId="29C81E00">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参考中层管理人员。</w:t>
            </w:r>
          </w:p>
        </w:tc>
      </w:tr>
    </w:tbl>
    <w:p w14:paraId="4749E5C4">
      <w:pPr>
        <w:pStyle w:val="5"/>
        <w:spacing w:line="360" w:lineRule="auto"/>
        <w:ind w:right="359" w:firstLine="480"/>
        <w:jc w:val="both"/>
      </w:pPr>
      <w:r>
        <w:rPr>
          <w:rFonts w:hint="eastAsia"/>
        </w:rPr>
        <w:t>此外，公司还注重员工自我学习氛围的构建，强调员工在工作之余不断自我学习的重要性，以此培育“与时俱进”的学习文化。</w:t>
      </w:r>
    </w:p>
    <w:p w14:paraId="502375A8">
      <w:pPr>
        <w:pStyle w:val="5"/>
        <w:spacing w:line="360" w:lineRule="auto"/>
        <w:ind w:right="359" w:firstLine="480"/>
        <w:jc w:val="both"/>
      </w:pPr>
      <w:r>
        <w:rPr>
          <w:rFonts w:hint="eastAsia"/>
        </w:rPr>
        <w:t>d）履行确保组织所提供产品和服务质量安全的责任</w:t>
      </w:r>
    </w:p>
    <w:p w14:paraId="165D9C1A">
      <w:pPr>
        <w:pStyle w:val="5"/>
        <w:spacing w:line="360" w:lineRule="auto"/>
        <w:ind w:right="359" w:firstLine="480"/>
        <w:jc w:val="both"/>
      </w:pPr>
      <w:r>
        <w:rPr>
          <w:rFonts w:hint="eastAsia"/>
        </w:rPr>
        <w:t>在</w:t>
      </w:r>
      <w:r>
        <w:rPr>
          <w:rFonts w:hint="eastAsia"/>
          <w:lang w:val="en-US" w:eastAsia="zh-CN"/>
        </w:rPr>
        <w:t>再生产品</w:t>
      </w:r>
      <w:r>
        <w:rPr>
          <w:rFonts w:hint="eastAsia"/>
        </w:rPr>
        <w:t>领域，产品品质、技术创新有着同等重要的位置，追求卓越的产品品质和领先的研发技术是一条漫长的道路。</w:t>
      </w:r>
      <w:r>
        <w:rPr>
          <w:rFonts w:hint="eastAsia"/>
          <w:lang w:eastAsia="zh-CN"/>
        </w:rPr>
        <w:t>巨东</w:t>
      </w:r>
      <w:r>
        <w:rPr>
          <w:rFonts w:hint="eastAsia"/>
        </w:rPr>
        <w:t>在十多年的坚持不懈中，高层领导始终坚持完善服务体系，努力提高产品品质，以市场规律为依据立足市场，在质和量的矛盾面前，确保产品质量再扩大产量、规模，以品质取胜。</w:t>
      </w:r>
    </w:p>
    <w:p w14:paraId="2CD2A4CC">
      <w:pPr>
        <w:pStyle w:val="5"/>
        <w:spacing w:line="360" w:lineRule="auto"/>
        <w:ind w:right="359" w:firstLine="480"/>
        <w:jc w:val="both"/>
      </w:pPr>
      <w:r>
        <w:rPr>
          <w:rFonts w:hint="eastAsia"/>
        </w:rPr>
        <w:t>为履行确保组织所提供产品和服务的质量安全的职责，引导组织承担质量安全主体责任，</w:t>
      </w:r>
      <w:r>
        <w:t>公司</w:t>
      </w:r>
      <w:r>
        <w:rPr>
          <w:rFonts w:hint="eastAsia"/>
        </w:rPr>
        <w:t>从价值链角度对包括设计开发、采购、生产、质量管理、销售等涉及产品和服务质量安全的过程进行了梳理、识别和分析，并根据创新与效率原则对过程进行设计，充分运用绩效系统对过程的实施进行监控，关注过程输入与输出，持续改进，形成有效的PDCA循环。为了保证所设计的流程能够有效的执行，公司针对每一过程分别制定操作说明书，并定期进行考核与监控</w:t>
      </w:r>
      <w:r>
        <w:t>。</w:t>
      </w:r>
    </w:p>
    <w:p w14:paraId="73D73220">
      <w:pPr>
        <w:pStyle w:val="5"/>
        <w:spacing w:line="360" w:lineRule="auto"/>
        <w:ind w:right="359" w:firstLine="480"/>
        <w:jc w:val="both"/>
      </w:pPr>
      <w:r>
        <w:rPr>
          <w:rFonts w:hint="eastAsia"/>
        </w:rPr>
        <w:t>公司内部导入并运行质量管理</w:t>
      </w:r>
      <w:r>
        <w:rPr>
          <w:rFonts w:hint="eastAsia"/>
          <w:lang w:eastAsia="zh-CN"/>
        </w:rPr>
        <w:t>、</w:t>
      </w:r>
      <w:r>
        <w:rPr>
          <w:rFonts w:hint="eastAsia"/>
          <w:lang w:val="en-US" w:eastAsia="zh-CN"/>
        </w:rPr>
        <w:t>环境安全和职业健康安全管理</w:t>
      </w:r>
      <w:r>
        <w:rPr>
          <w:rFonts w:hint="eastAsia"/>
        </w:rPr>
        <w:t>体系，以质取胜，以创新拓市场。在履行确保组织所提供产品和服务质量安全的责任方面，公司在原料采购上对各原材料实施订单协议收购，强化对采购原材料的检验及质量全过程控制。</w:t>
      </w:r>
    </w:p>
    <w:p w14:paraId="30B942A6">
      <w:pPr>
        <w:pStyle w:val="5"/>
        <w:spacing w:line="360" w:lineRule="auto"/>
        <w:ind w:right="359" w:firstLine="480"/>
        <w:jc w:val="both"/>
      </w:pPr>
      <w:r>
        <w:rPr>
          <w:rFonts w:hint="eastAsia"/>
        </w:rPr>
        <w:t>在产品自主创新方面，公司内部成立了研发中心，致力于</w:t>
      </w:r>
      <w:r>
        <w:rPr>
          <w:rFonts w:hint="eastAsia"/>
          <w:lang w:val="en-US"/>
        </w:rPr>
        <w:t>开关插座</w:t>
      </w:r>
      <w:r>
        <w:rPr>
          <w:rFonts w:hint="eastAsia"/>
        </w:rPr>
        <w:t>的研发创新，获得多项国家专利。公司</w:t>
      </w:r>
      <w:r>
        <w:rPr>
          <w:rFonts w:hint="eastAsia"/>
          <w:lang w:val="en-US"/>
        </w:rPr>
        <w:t>建有检测</w:t>
      </w:r>
      <w:r>
        <w:rPr>
          <w:rFonts w:hint="eastAsia"/>
        </w:rPr>
        <w:t>室，对于产品质量保障有极大的提升。</w:t>
      </w:r>
    </w:p>
    <w:p w14:paraId="6854D256">
      <w:pPr>
        <w:pStyle w:val="5"/>
        <w:spacing w:line="360" w:lineRule="auto"/>
        <w:ind w:right="359" w:firstLine="480"/>
        <w:jc w:val="both"/>
      </w:pPr>
      <w:r>
        <w:rPr>
          <w:rFonts w:hint="eastAsia"/>
        </w:rPr>
        <w:t>此外，公司</w:t>
      </w:r>
      <w:r>
        <w:t>完善的质量控制管理体系有效保证了产品质量的稳定</w:t>
      </w:r>
      <w:r>
        <w:rPr>
          <w:rFonts w:hint="eastAsia"/>
        </w:rPr>
        <w:t>，已制定了多项具体的质量控制措施，涵盖了从产品设计、原材料采购、产品制造、产品检验、性能测试、包装储运到客户服务等全过程等各个环节，对各部门的质量控制工作进行有效的指导和监督；同时，公司以满足客户要求作为标准，由各专门部门负责，认真抓好产品质量的持续改进工作。</w:t>
      </w:r>
    </w:p>
    <w:p w14:paraId="701D3056">
      <w:pPr>
        <w:pStyle w:val="5"/>
        <w:spacing w:line="360" w:lineRule="auto"/>
        <w:ind w:right="359" w:firstLine="480"/>
        <w:jc w:val="both"/>
      </w:pPr>
      <w:r>
        <w:rPr>
          <w:rFonts w:hint="eastAsia"/>
        </w:rPr>
        <w:t>e）推进品牌建设，提高产品质量和服务水平</w:t>
      </w:r>
    </w:p>
    <w:p w14:paraId="4D7304A1">
      <w:pPr>
        <w:pStyle w:val="5"/>
        <w:spacing w:line="360" w:lineRule="auto"/>
        <w:ind w:right="359" w:firstLine="480"/>
        <w:jc w:val="both"/>
      </w:pPr>
      <w:r>
        <w:rPr>
          <w:rFonts w:hint="eastAsia"/>
        </w:rPr>
        <w:t>为推进品牌建设，公司依据发展战略目标，制定了相应的品牌发展规划，通过积极参与行业协会活动、主导行业标准制定、加大技术创新投入、完善渠道建设及售后服务等方式不断提高产品质量和服务水平。</w:t>
      </w:r>
    </w:p>
    <w:p w14:paraId="214CF53E">
      <w:pPr>
        <w:pStyle w:val="5"/>
        <w:spacing w:line="360" w:lineRule="auto"/>
        <w:ind w:right="359" w:firstLine="480"/>
        <w:jc w:val="both"/>
      </w:pPr>
      <w:r>
        <w:rPr>
          <w:rFonts w:hint="eastAsia"/>
        </w:rPr>
        <w:t>以品牌为基础，推进文化出口</w:t>
      </w:r>
    </w:p>
    <w:p w14:paraId="6EE5BF56">
      <w:pPr>
        <w:pStyle w:val="5"/>
        <w:spacing w:line="360" w:lineRule="auto"/>
        <w:ind w:right="359" w:firstLine="480"/>
        <w:jc w:val="both"/>
      </w:pPr>
      <w:r>
        <w:rPr>
          <w:rFonts w:hint="eastAsia"/>
        </w:rPr>
        <w:t>公司成立之初便创建了自己的品牌</w:t>
      </w:r>
      <w:r>
        <w:rPr>
          <w:rFonts w:hint="eastAsia"/>
          <w:lang w:val="en-US"/>
        </w:rPr>
        <w:t>商标</w:t>
      </w:r>
      <w:r>
        <w:rPr>
          <w:rFonts w:hint="eastAsia"/>
        </w:rPr>
        <w:t>，</w:t>
      </w:r>
      <w:r>
        <w:rPr>
          <w:rFonts w:hint="eastAsia"/>
          <w:lang w:val="en-US"/>
        </w:rPr>
        <w:t>企业发展过程中也一直规划</w:t>
      </w:r>
      <w:r>
        <w:rPr>
          <w:rFonts w:hint="eastAsia"/>
        </w:rPr>
        <w:t>走自主品牌建设之路。</w:t>
      </w:r>
    </w:p>
    <w:p w14:paraId="70209BB3">
      <w:pPr>
        <w:pStyle w:val="5"/>
        <w:spacing w:line="360" w:lineRule="auto"/>
        <w:ind w:right="359" w:firstLine="480"/>
        <w:jc w:val="both"/>
      </w:pPr>
      <w:r>
        <w:rPr>
          <w:rFonts w:hint="eastAsia"/>
        </w:rPr>
        <w:t>对于海外自主品牌</w:t>
      </w:r>
      <w:r>
        <w:rPr>
          <w:rFonts w:hint="eastAsia"/>
          <w:lang w:val="en-US"/>
        </w:rPr>
        <w:t>形象</w:t>
      </w:r>
      <w:r>
        <w:rPr>
          <w:rFonts w:hint="eastAsia"/>
        </w:rPr>
        <w:t>建设，公司</w:t>
      </w:r>
      <w:r>
        <w:rPr>
          <w:rFonts w:hint="eastAsia"/>
          <w:lang w:val="en-US"/>
        </w:rPr>
        <w:t>通过各种展会以及多渠道宣传</w:t>
      </w:r>
      <w:r>
        <w:rPr>
          <w:rFonts w:hint="eastAsia"/>
        </w:rPr>
        <w:t>，取得</w:t>
      </w:r>
      <w:r>
        <w:rPr>
          <w:rFonts w:hint="eastAsia"/>
          <w:lang w:val="en-US"/>
        </w:rPr>
        <w:t>了一定</w:t>
      </w:r>
      <w:r>
        <w:rPr>
          <w:rFonts w:hint="eastAsia"/>
        </w:rPr>
        <w:t>的效果。根据每月定期的数据分析，对拓展海外市场和品牌建设起到了很好的作用。经过多年运作和市场积累，公司</w:t>
      </w:r>
      <w:r>
        <w:rPr>
          <w:rFonts w:hint="eastAsia"/>
          <w:lang w:eastAsia="zh-CN"/>
        </w:rPr>
        <w:t>巨东</w:t>
      </w:r>
      <w:r>
        <w:rPr>
          <w:rFonts w:hint="eastAsia"/>
        </w:rPr>
        <w:t>品牌在国内外取得了一定的口碑。</w:t>
      </w:r>
    </w:p>
    <w:p w14:paraId="46ED680E">
      <w:pPr>
        <w:pStyle w:val="5"/>
        <w:spacing w:line="360" w:lineRule="auto"/>
        <w:ind w:right="359" w:firstLine="480"/>
        <w:jc w:val="both"/>
      </w:pPr>
      <w:r>
        <w:rPr>
          <w:rFonts w:hint="eastAsia"/>
        </w:rPr>
        <w:t>同时，公司致力成为行业持续领军者，将中国自主创新品牌走向全球市场，打造中国自主的国际一流</w:t>
      </w:r>
      <w:r>
        <w:rPr>
          <w:rFonts w:hint="eastAsia"/>
          <w:lang w:val="en-US"/>
        </w:rPr>
        <w:t>开关制造商</w:t>
      </w:r>
      <w:r>
        <w:rPr>
          <w:rFonts w:hint="eastAsia"/>
        </w:rPr>
        <w:t>。</w:t>
      </w:r>
    </w:p>
    <w:p w14:paraId="02D26C6E">
      <w:pPr>
        <w:pStyle w:val="5"/>
        <w:spacing w:line="360" w:lineRule="auto"/>
        <w:ind w:right="359" w:firstLine="480"/>
        <w:jc w:val="both"/>
      </w:pPr>
      <w:r>
        <w:rPr>
          <w:rFonts w:hint="eastAsia"/>
        </w:rPr>
        <w:t>f）强化风险意识以推动组织持续经营，积极培养组织未来的领导者</w:t>
      </w:r>
    </w:p>
    <w:p w14:paraId="11718856">
      <w:pPr>
        <w:pStyle w:val="5"/>
        <w:spacing w:line="360" w:lineRule="auto"/>
        <w:ind w:right="359" w:firstLine="480"/>
        <w:jc w:val="both"/>
      </w:pPr>
      <w:r>
        <w:rPr>
          <w:rFonts w:hint="eastAsia"/>
        </w:rPr>
        <w:t>1）提升风险管理意识，推动组织持续经营</w:t>
      </w:r>
    </w:p>
    <w:p w14:paraId="3FC51903">
      <w:pPr>
        <w:pStyle w:val="5"/>
        <w:spacing w:line="360" w:lineRule="auto"/>
        <w:ind w:right="359" w:firstLine="480"/>
        <w:jc w:val="both"/>
      </w:pPr>
      <w:r>
        <w:rPr>
          <w:rFonts w:hint="eastAsia"/>
        </w:rPr>
        <w:t>公司创立至今，在取得众多成就的同时，不断强化风险意识，推动组织的持续经营。为此，公司经营管理团队严格把控各部门工作中可能存在的风险点，</w:t>
      </w:r>
      <w:r>
        <w:rPr>
          <w:rFonts w:hint="eastAsia" w:ascii="Arial" w:hAnsi="Arial"/>
        </w:rPr>
        <w:t>密切关注外部环境中的潜在风险因素，积极采取风险预防措施，在国家政策、市场需求、产品质量、财务资金、运营管理等方面严格推行风险监测与保持风险敏感性，高层领导不断向公司各级员工灌输风险意识，强调市场竞争的残酷性及环境的复杂性，最小化各种潜在风险对公司的影响。在内部运营风险管理方面，公司对主要内部运营风险评价指标进行识别并采取预防措施，如财务管理每年定期对应收账款进行动态跟踪与管理，防范呆账和坏账风险</w:t>
      </w:r>
      <w:r>
        <w:rPr>
          <w:rFonts w:hint="eastAsia"/>
        </w:rPr>
        <w:t>。</w:t>
      </w:r>
    </w:p>
    <w:p w14:paraId="13BB62A6">
      <w:pPr>
        <w:pStyle w:val="5"/>
        <w:spacing w:line="360" w:lineRule="auto"/>
        <w:ind w:right="359" w:firstLine="480"/>
        <w:jc w:val="center"/>
      </w:pPr>
      <w:r>
        <w:rPr>
          <w:rFonts w:hint="eastAsia"/>
        </w:rPr>
        <w:t>图表</w:t>
      </w:r>
      <w:r>
        <w:rPr>
          <w:rFonts w:hint="eastAsia"/>
          <w:lang w:val="en-US"/>
        </w:rPr>
        <w:t>2</w:t>
      </w:r>
      <w:r>
        <w:rPr>
          <w:rFonts w:hint="eastAsia"/>
        </w:rPr>
        <w:t>.1-</w:t>
      </w:r>
      <w:r>
        <w:rPr>
          <w:rFonts w:hint="eastAsia"/>
          <w:lang w:val="en-US"/>
        </w:rPr>
        <w:t>6</w:t>
      </w:r>
      <w:r>
        <w:rPr>
          <w:rFonts w:hint="eastAsia"/>
        </w:rPr>
        <w:t xml:space="preserve"> </w:t>
      </w:r>
      <w:r>
        <w:rPr>
          <w:rFonts w:hint="eastAsia"/>
          <w:lang w:eastAsia="zh-CN"/>
        </w:rPr>
        <w:t>巨东</w:t>
      </w:r>
      <w:r>
        <w:rPr>
          <w:rFonts w:hint="eastAsia"/>
        </w:rPr>
        <w:t>风险管理所采取的行动示例</w:t>
      </w:r>
    </w:p>
    <w:tbl>
      <w:tblPr>
        <w:tblStyle w:val="10"/>
        <w:tblW w:w="9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5"/>
        <w:gridCol w:w="1840"/>
        <w:gridCol w:w="2551"/>
        <w:gridCol w:w="3933"/>
      </w:tblGrid>
      <w:tr w14:paraId="23F8E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blHeader/>
          <w:jc w:val="center"/>
        </w:trPr>
        <w:tc>
          <w:tcPr>
            <w:tcW w:w="1195" w:type="dxa"/>
            <w:shd w:val="clear" w:color="auto" w:fill="548DD4" w:themeFill="text2" w:themeFillTint="99"/>
            <w:vAlign w:val="center"/>
          </w:tcPr>
          <w:p w14:paraId="6E9032B0">
            <w:pPr>
              <w:snapToGrid w:val="0"/>
              <w:spacing w:line="360" w:lineRule="auto"/>
              <w:jc w:val="center"/>
              <w:rPr>
                <w:rFonts w:ascii="微软雅黑" w:hAnsi="微软雅黑" w:eastAsia="微软雅黑"/>
                <w:b/>
                <w:sz w:val="20"/>
                <w:szCs w:val="20"/>
              </w:rPr>
            </w:pPr>
            <w:r>
              <w:rPr>
                <w:rFonts w:hint="eastAsia" w:ascii="微软雅黑" w:hAnsi="微软雅黑" w:eastAsia="微软雅黑"/>
                <w:b/>
                <w:sz w:val="20"/>
                <w:szCs w:val="20"/>
              </w:rPr>
              <w:t>风险类型</w:t>
            </w:r>
          </w:p>
        </w:tc>
        <w:tc>
          <w:tcPr>
            <w:tcW w:w="1840" w:type="dxa"/>
            <w:shd w:val="clear" w:color="auto" w:fill="548DD4" w:themeFill="text2" w:themeFillTint="99"/>
            <w:vAlign w:val="center"/>
          </w:tcPr>
          <w:p w14:paraId="2B92C1D0">
            <w:pPr>
              <w:snapToGrid w:val="0"/>
              <w:spacing w:line="360" w:lineRule="auto"/>
              <w:jc w:val="center"/>
              <w:rPr>
                <w:rFonts w:ascii="微软雅黑" w:hAnsi="微软雅黑" w:eastAsia="微软雅黑"/>
                <w:b/>
                <w:sz w:val="20"/>
                <w:szCs w:val="20"/>
              </w:rPr>
            </w:pPr>
            <w:r>
              <w:rPr>
                <w:rFonts w:hint="eastAsia" w:ascii="微软雅黑" w:hAnsi="微软雅黑" w:eastAsia="微软雅黑"/>
                <w:b/>
                <w:sz w:val="20"/>
                <w:szCs w:val="20"/>
              </w:rPr>
              <w:t>可能的负面影响</w:t>
            </w:r>
          </w:p>
        </w:tc>
        <w:tc>
          <w:tcPr>
            <w:tcW w:w="2551" w:type="dxa"/>
            <w:shd w:val="clear" w:color="auto" w:fill="548DD4" w:themeFill="text2" w:themeFillTint="99"/>
            <w:vAlign w:val="center"/>
          </w:tcPr>
          <w:p w14:paraId="36E626A1">
            <w:pPr>
              <w:snapToGrid w:val="0"/>
              <w:spacing w:line="360" w:lineRule="auto"/>
              <w:jc w:val="center"/>
              <w:rPr>
                <w:rFonts w:ascii="微软雅黑" w:hAnsi="微软雅黑" w:eastAsia="微软雅黑"/>
                <w:b/>
                <w:sz w:val="20"/>
                <w:szCs w:val="20"/>
              </w:rPr>
            </w:pPr>
            <w:r>
              <w:rPr>
                <w:rFonts w:hint="eastAsia" w:ascii="微软雅黑" w:hAnsi="微软雅黑" w:eastAsia="微软雅黑"/>
                <w:b/>
                <w:sz w:val="20"/>
                <w:szCs w:val="20"/>
              </w:rPr>
              <w:t>导致风险的主要因素</w:t>
            </w:r>
          </w:p>
        </w:tc>
        <w:tc>
          <w:tcPr>
            <w:tcW w:w="3933" w:type="dxa"/>
            <w:shd w:val="clear" w:color="auto" w:fill="548DD4" w:themeFill="text2" w:themeFillTint="99"/>
            <w:vAlign w:val="center"/>
          </w:tcPr>
          <w:p w14:paraId="479448CA">
            <w:pPr>
              <w:snapToGrid w:val="0"/>
              <w:spacing w:line="360" w:lineRule="auto"/>
              <w:jc w:val="center"/>
              <w:rPr>
                <w:rFonts w:ascii="微软雅黑" w:hAnsi="微软雅黑" w:eastAsia="微软雅黑"/>
                <w:b/>
                <w:sz w:val="20"/>
                <w:szCs w:val="20"/>
              </w:rPr>
            </w:pPr>
            <w:r>
              <w:rPr>
                <w:rFonts w:hint="eastAsia" w:ascii="微软雅黑" w:hAnsi="微软雅黑" w:eastAsia="微软雅黑"/>
                <w:b/>
                <w:sz w:val="20"/>
                <w:szCs w:val="20"/>
              </w:rPr>
              <w:t>风险控制措施</w:t>
            </w:r>
          </w:p>
        </w:tc>
      </w:tr>
      <w:tr w14:paraId="63A0E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6AD4B089">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经营风险</w:t>
            </w:r>
          </w:p>
        </w:tc>
        <w:tc>
          <w:tcPr>
            <w:tcW w:w="1840" w:type="dxa"/>
            <w:shd w:val="clear" w:color="auto" w:fill="F2F2F2"/>
            <w:vAlign w:val="center"/>
          </w:tcPr>
          <w:p w14:paraId="5A2934C9">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经营决策失误导致公司经营问题</w:t>
            </w:r>
          </w:p>
        </w:tc>
        <w:tc>
          <w:tcPr>
            <w:tcW w:w="2551" w:type="dxa"/>
            <w:shd w:val="clear" w:color="auto" w:fill="F2F2F2"/>
            <w:vAlign w:val="center"/>
          </w:tcPr>
          <w:p w14:paraId="252324B5">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产业政策变化、市场分析与定位不准、战略决策过程不合理等</w:t>
            </w:r>
          </w:p>
        </w:tc>
        <w:tc>
          <w:tcPr>
            <w:tcW w:w="3933" w:type="dxa"/>
            <w:shd w:val="clear" w:color="auto" w:fill="F2F2F2"/>
            <w:vAlign w:val="center"/>
          </w:tcPr>
          <w:p w14:paraId="7FB8E229">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成立战略管理小组，完善战略管理流程，运用科学的战略分析与制定工具，确保战略落地；建立战略监控管理机制，定期动态调整</w:t>
            </w:r>
          </w:p>
        </w:tc>
      </w:tr>
      <w:tr w14:paraId="29B27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14ED8B46">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财务风险</w:t>
            </w:r>
          </w:p>
        </w:tc>
        <w:tc>
          <w:tcPr>
            <w:tcW w:w="1840" w:type="dxa"/>
            <w:shd w:val="clear" w:color="auto" w:fill="F2F2F2"/>
            <w:vAlign w:val="center"/>
          </w:tcPr>
          <w:p w14:paraId="4E9454E4">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财务危机，影响收益，导致经营困境</w:t>
            </w:r>
          </w:p>
        </w:tc>
        <w:tc>
          <w:tcPr>
            <w:tcW w:w="2551" w:type="dxa"/>
            <w:shd w:val="clear" w:color="auto" w:fill="F2F2F2"/>
            <w:vAlign w:val="center"/>
          </w:tcPr>
          <w:p w14:paraId="649BD952">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税收、汇率等财务环境变化，投资、筹资措施不科学，资金回收与管理不善，分配政策不规范</w:t>
            </w:r>
          </w:p>
        </w:tc>
        <w:tc>
          <w:tcPr>
            <w:tcW w:w="3933" w:type="dxa"/>
            <w:shd w:val="clear" w:color="auto" w:fill="F2F2F2"/>
            <w:vAlign w:val="center"/>
          </w:tcPr>
          <w:p w14:paraId="16BF9A9F">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建立完善的财务管理体系，健全全面预算管理、建立财务风险管控机制、不断提升资金周转率和使用效率等</w:t>
            </w:r>
          </w:p>
        </w:tc>
      </w:tr>
      <w:tr w14:paraId="70DB1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7A876E7A">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品牌风险</w:t>
            </w:r>
          </w:p>
        </w:tc>
        <w:tc>
          <w:tcPr>
            <w:tcW w:w="1840" w:type="dxa"/>
            <w:shd w:val="clear" w:color="auto" w:fill="F2F2F2"/>
            <w:vAlign w:val="center"/>
          </w:tcPr>
          <w:p w14:paraId="79BE48D4">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品牌损害</w:t>
            </w:r>
          </w:p>
        </w:tc>
        <w:tc>
          <w:tcPr>
            <w:tcW w:w="2551" w:type="dxa"/>
            <w:shd w:val="clear" w:color="auto" w:fill="F2F2F2"/>
            <w:vAlign w:val="center"/>
          </w:tcPr>
          <w:p w14:paraId="49A397FA">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重大质量事故或因舆情监控管理不当导致</w:t>
            </w:r>
          </w:p>
        </w:tc>
        <w:tc>
          <w:tcPr>
            <w:tcW w:w="3933" w:type="dxa"/>
            <w:shd w:val="clear" w:color="auto" w:fill="F2F2F2"/>
            <w:vAlign w:val="center"/>
          </w:tcPr>
          <w:p w14:paraId="2832C7D1">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持续完善内部品牌管理过程，建立舆情监控系统，维护品牌知名度与美誉度</w:t>
            </w:r>
          </w:p>
        </w:tc>
      </w:tr>
      <w:tr w14:paraId="1192E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3613CF5F">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质量风险</w:t>
            </w:r>
          </w:p>
        </w:tc>
        <w:tc>
          <w:tcPr>
            <w:tcW w:w="1840" w:type="dxa"/>
            <w:shd w:val="clear" w:color="auto" w:fill="F2F2F2"/>
            <w:vAlign w:val="center"/>
          </w:tcPr>
          <w:p w14:paraId="09B69BAA">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法律追责、产品失信</w:t>
            </w:r>
          </w:p>
        </w:tc>
        <w:tc>
          <w:tcPr>
            <w:tcW w:w="2551" w:type="dxa"/>
            <w:shd w:val="clear" w:color="auto" w:fill="F2F2F2"/>
            <w:vAlign w:val="center"/>
          </w:tcPr>
          <w:p w14:paraId="4508603E">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产品设计考虑不周、生产技术水平不够、生产过程把关不严</w:t>
            </w:r>
          </w:p>
        </w:tc>
        <w:tc>
          <w:tcPr>
            <w:tcW w:w="3933" w:type="dxa"/>
            <w:shd w:val="clear" w:color="auto" w:fill="F2F2F2"/>
            <w:vAlign w:val="center"/>
          </w:tcPr>
          <w:p w14:paraId="1F906E06">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推行首席质量官机制、建立产品全生命周期管理体系，从设计-采购-生产-物流-营销-售后服务等全过程管控质量</w:t>
            </w:r>
          </w:p>
        </w:tc>
      </w:tr>
      <w:tr w14:paraId="397A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68CE1423">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安全风险</w:t>
            </w:r>
          </w:p>
        </w:tc>
        <w:tc>
          <w:tcPr>
            <w:tcW w:w="1840" w:type="dxa"/>
            <w:shd w:val="clear" w:color="auto" w:fill="F2F2F2"/>
            <w:vAlign w:val="center"/>
          </w:tcPr>
          <w:p w14:paraId="49513459">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员工人身损害，资产损失，法律追责</w:t>
            </w:r>
          </w:p>
        </w:tc>
        <w:tc>
          <w:tcPr>
            <w:tcW w:w="2551" w:type="dxa"/>
            <w:shd w:val="clear" w:color="auto" w:fill="F2F2F2"/>
            <w:vAlign w:val="center"/>
          </w:tcPr>
          <w:p w14:paraId="0BCCF7C7">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全员安全意识不足、日常管理不规范、安全防护措施不到位</w:t>
            </w:r>
          </w:p>
        </w:tc>
        <w:tc>
          <w:tcPr>
            <w:tcW w:w="3933" w:type="dxa"/>
            <w:shd w:val="clear" w:color="auto" w:fill="F2F2F2"/>
            <w:vAlign w:val="center"/>
          </w:tcPr>
          <w:p w14:paraId="7EE07A9A">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建立安全生产责任制，强化员工安全意识，定期开展安全生产培训，提升安全管理水平</w:t>
            </w:r>
          </w:p>
        </w:tc>
      </w:tr>
      <w:tr w14:paraId="096E0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71931A9F">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环境风险</w:t>
            </w:r>
          </w:p>
        </w:tc>
        <w:tc>
          <w:tcPr>
            <w:tcW w:w="1840" w:type="dxa"/>
            <w:shd w:val="clear" w:color="auto" w:fill="F2F2F2"/>
            <w:vAlign w:val="center"/>
          </w:tcPr>
          <w:p w14:paraId="5CD5D498">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环境变化影响正常经营</w:t>
            </w:r>
          </w:p>
        </w:tc>
        <w:tc>
          <w:tcPr>
            <w:tcW w:w="2551" w:type="dxa"/>
            <w:shd w:val="clear" w:color="auto" w:fill="F2F2F2"/>
            <w:vAlign w:val="center"/>
          </w:tcPr>
          <w:p w14:paraId="39AF6A56">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气候恶劣变化、“三废”排放等</w:t>
            </w:r>
          </w:p>
        </w:tc>
        <w:tc>
          <w:tcPr>
            <w:tcW w:w="3933" w:type="dxa"/>
            <w:shd w:val="clear" w:color="auto" w:fill="F2F2F2"/>
            <w:vAlign w:val="center"/>
          </w:tcPr>
          <w:p w14:paraId="01EA6150">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持续完善环境管理体系，每年开展关键场所环境影响因素的识别、评价和应对工作，建立方针、目标和管理方案等</w:t>
            </w:r>
          </w:p>
        </w:tc>
      </w:tr>
      <w:tr w14:paraId="3EB25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jc w:val="center"/>
        </w:trPr>
        <w:tc>
          <w:tcPr>
            <w:tcW w:w="1195" w:type="dxa"/>
            <w:shd w:val="clear" w:color="auto" w:fill="F2F2F2"/>
            <w:vAlign w:val="center"/>
          </w:tcPr>
          <w:p w14:paraId="354393E2">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市场风险</w:t>
            </w:r>
          </w:p>
        </w:tc>
        <w:tc>
          <w:tcPr>
            <w:tcW w:w="1840" w:type="dxa"/>
            <w:shd w:val="clear" w:color="auto" w:fill="F2F2F2"/>
            <w:vAlign w:val="center"/>
          </w:tcPr>
          <w:p w14:paraId="00A93B01">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产品市场认可度降低、市场占有率降低</w:t>
            </w:r>
          </w:p>
        </w:tc>
        <w:tc>
          <w:tcPr>
            <w:tcW w:w="2551" w:type="dxa"/>
            <w:shd w:val="clear" w:color="auto" w:fill="F2F2F2"/>
            <w:vAlign w:val="center"/>
          </w:tcPr>
          <w:p w14:paraId="6205EC12">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市场客户意见反馈处理不到位，产品售后服务不及时，产品上市管理不足</w:t>
            </w:r>
          </w:p>
        </w:tc>
        <w:tc>
          <w:tcPr>
            <w:tcW w:w="3933" w:type="dxa"/>
            <w:shd w:val="clear" w:color="auto" w:fill="F2F2F2"/>
            <w:vAlign w:val="center"/>
          </w:tcPr>
          <w:p w14:paraId="34F34635">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关注竞争对手、标杆企业的动态，分析市场竞争成功要素，努力形成自身核心竞争优势，把握市场变化，产品研发创新，并通过品牌营销，提升品牌形象</w:t>
            </w:r>
          </w:p>
        </w:tc>
      </w:tr>
      <w:tr w14:paraId="109FB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5" w:type="dxa"/>
            <w:shd w:val="clear" w:color="auto" w:fill="F2F2F2"/>
            <w:vAlign w:val="center"/>
          </w:tcPr>
          <w:p w14:paraId="518C6275">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人才风险</w:t>
            </w:r>
          </w:p>
        </w:tc>
        <w:tc>
          <w:tcPr>
            <w:tcW w:w="1840" w:type="dxa"/>
            <w:shd w:val="clear" w:color="auto" w:fill="F2F2F2"/>
            <w:vAlign w:val="center"/>
          </w:tcPr>
          <w:p w14:paraId="4A4EEF73">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人才流失、后备人才不足、关键岗位人才缺失、人员工作积极性不足</w:t>
            </w:r>
          </w:p>
        </w:tc>
        <w:tc>
          <w:tcPr>
            <w:tcW w:w="2551" w:type="dxa"/>
            <w:shd w:val="clear" w:color="auto" w:fill="F2F2F2"/>
            <w:vAlign w:val="center"/>
          </w:tcPr>
          <w:p w14:paraId="5E2A03F6">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人才选拔、培养、配置、激励机制不健全，人才梯队建设不到位</w:t>
            </w:r>
          </w:p>
        </w:tc>
        <w:tc>
          <w:tcPr>
            <w:tcW w:w="3933" w:type="dxa"/>
            <w:shd w:val="clear" w:color="auto" w:fill="F2F2F2"/>
            <w:vAlign w:val="center"/>
          </w:tcPr>
          <w:p w14:paraId="080FD2B2">
            <w:pPr>
              <w:snapToGrid w:val="0"/>
              <w:spacing w:line="360" w:lineRule="auto"/>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注重人员内部培训与外部引进；建立储备干部培养制度，并重点培养、考察，逐步培养企业核心人才及未来领导者</w:t>
            </w:r>
          </w:p>
        </w:tc>
      </w:tr>
    </w:tbl>
    <w:p w14:paraId="55D7DAC1">
      <w:pPr>
        <w:pStyle w:val="5"/>
        <w:spacing w:line="360" w:lineRule="auto"/>
        <w:ind w:right="359" w:firstLine="480"/>
        <w:jc w:val="both"/>
      </w:pPr>
      <w:r>
        <w:t>2</w:t>
      </w:r>
      <w:r>
        <w:rPr>
          <w:rFonts w:hint="eastAsia"/>
        </w:rPr>
        <w:t>）加强未来管理者培养，建立组织人才梯队</w:t>
      </w:r>
    </w:p>
    <w:p w14:paraId="03B7D539">
      <w:pPr>
        <w:pStyle w:val="5"/>
        <w:spacing w:line="360" w:lineRule="auto"/>
        <w:ind w:right="359" w:firstLine="480"/>
        <w:jc w:val="both"/>
      </w:pPr>
      <w:r>
        <w:rPr>
          <w:rFonts w:hint="eastAsia"/>
        </w:rPr>
        <w:t>为确保组织的延续性，根据人力资源发展规划，公司在人力资源管理过程中设定人才梯队建设这一关键绩效指标，定期开展人才盘点工作，识别组织的关键岗位及后备管理人员，对关键岗位继任者进行甄选、组织管理形式、培养方式、评估、晋升等内容进行梳理。</w:t>
      </w:r>
    </w:p>
    <w:p w14:paraId="07AAD00F">
      <w:pPr>
        <w:pStyle w:val="5"/>
        <w:spacing w:line="360" w:lineRule="auto"/>
        <w:ind w:right="359" w:firstLine="480"/>
        <w:jc w:val="both"/>
      </w:pPr>
      <w:r>
        <w:rPr>
          <w:rFonts w:hint="eastAsia"/>
        </w:rPr>
        <w:t>同时，公司针对不同类型岗位开展针对性的培训，通过专业技能、管理学科等方面的培训提升综合素质，结合公司内部培训以及外部培训、岗位轮换等方式，不断提升各级领导者的综合领导力。</w:t>
      </w:r>
    </w:p>
    <w:p w14:paraId="00F26737">
      <w:pPr>
        <w:pStyle w:val="5"/>
        <w:spacing w:line="360" w:lineRule="auto"/>
        <w:ind w:right="359" w:firstLine="480"/>
        <w:jc w:val="both"/>
      </w:pPr>
      <w:r>
        <w:rPr>
          <w:rFonts w:hint="eastAsia"/>
        </w:rPr>
        <w:t>g）定期评价组织绩效并不断提升改进</w:t>
      </w:r>
    </w:p>
    <w:p w14:paraId="511BCD9F">
      <w:pPr>
        <w:pStyle w:val="5"/>
        <w:spacing w:line="360" w:lineRule="auto"/>
        <w:ind w:right="359" w:firstLine="480"/>
        <w:jc w:val="both"/>
      </w:pPr>
      <w:r>
        <w:t>1</w:t>
      </w:r>
      <w:r>
        <w:rPr>
          <w:rFonts w:hint="eastAsia"/>
        </w:rPr>
        <w:t>）建立科学的绩效评价体系以评价组织绩效</w:t>
      </w:r>
    </w:p>
    <w:p w14:paraId="531F324B">
      <w:pPr>
        <w:pStyle w:val="5"/>
        <w:spacing w:line="360" w:lineRule="auto"/>
        <w:ind w:right="359" w:firstLine="480"/>
        <w:jc w:val="both"/>
      </w:pPr>
      <w:r>
        <w:rPr>
          <w:rFonts w:hint="eastAsia"/>
        </w:rPr>
        <w:t>高层领导从财务、顾客与市场、内部运营、学习与成长、战略管理等方面定期评估组织的绩效和能力，并适时调整，持续改进，追求卓越绩效，提升组织的应变能力。</w:t>
      </w:r>
    </w:p>
    <w:p w14:paraId="23004154">
      <w:pPr>
        <w:pStyle w:val="5"/>
        <w:spacing w:line="360" w:lineRule="auto"/>
        <w:ind w:right="359" w:firstLine="480"/>
        <w:jc w:val="both"/>
      </w:pPr>
      <w:r>
        <w:rPr>
          <w:rFonts w:hint="eastAsia"/>
        </w:rPr>
        <w:t>高层领导为了实现战略目标和行动计划，推行以目标管理为主的方法。每年的经营任务指标和方针确定后，将公司的年度经营任务目标化解成每季每月目标，向全体员工传达、分解，确保每一位员工都了解当年的目标任务。</w:t>
      </w:r>
    </w:p>
    <w:p w14:paraId="2B65C793">
      <w:pPr>
        <w:pStyle w:val="5"/>
        <w:spacing w:line="360" w:lineRule="auto"/>
        <w:ind w:right="359" w:firstLine="480"/>
        <w:jc w:val="both"/>
      </w:pPr>
      <w:r>
        <w:rPr>
          <w:rFonts w:hint="eastAsia"/>
        </w:rPr>
        <w:t>公司对岗位员工采取非量化和量化相结合的考核方式，并对有技术含量的高科技人才实施技术创新奖励制度考核制度。在考核频率方面，总经理、公司经理层及营销岗位签订考核协议实行年度考核，其他月薪制员工实行月度考核，部门经理、主管及其 他年薪制人员月度考核与年度考核相结合。绩效考核中不同类型岗位考核的侧重点不同，以绩效为导向，针对不同岗位类型的员工设置对内外部顾客服务态度及结果的考核指标。</w:t>
      </w:r>
    </w:p>
    <w:p w14:paraId="331F1157">
      <w:pPr>
        <w:pStyle w:val="5"/>
        <w:spacing w:line="360" w:lineRule="auto"/>
        <w:ind w:right="359" w:firstLine="480"/>
        <w:jc w:val="both"/>
      </w:pPr>
      <w:r>
        <w:rPr>
          <w:rFonts w:hint="eastAsia"/>
        </w:rPr>
        <w:t>2）确定和落实改进关键业务的优先次序，识别改进与创新机会</w:t>
      </w:r>
    </w:p>
    <w:p w14:paraId="730B9B81">
      <w:pPr>
        <w:pStyle w:val="5"/>
        <w:spacing w:line="360" w:lineRule="auto"/>
        <w:ind w:right="359" w:firstLine="480"/>
        <w:jc w:val="both"/>
      </w:pPr>
      <w:r>
        <w:rPr>
          <w:rFonts w:hint="eastAsia"/>
        </w:rPr>
        <w:t>高层领导通过战略研讨会、管理评审会、定期的经营分析会等方式评价公司的关键绩效指标，以识别改进和创新的重点。根据绩效评审结果，按照与公司使命、愿景、目标、顾客满意度等相关性大小，确定改进问题，明确改进优先次序并识别创新机会，通过“立项”方式，明确责任部门和责任人，对改进计划采取重责考评限期改进等办法推进落实。一方面做好内部策划实施，另一方面及时沟通合作伙伴，以便步调一致，协同创新。</w:t>
      </w:r>
    </w:p>
    <w:p w14:paraId="577A40F9">
      <w:pPr>
        <w:pStyle w:val="2"/>
        <w:spacing w:line="360" w:lineRule="auto"/>
      </w:pPr>
      <w:bookmarkStart w:id="6" w:name="三、守法合规"/>
      <w:bookmarkEnd w:id="6"/>
      <w:bookmarkStart w:id="7" w:name="_Toc81224781"/>
      <w:r>
        <w:t>三、守法合规</w:t>
      </w:r>
      <w:bookmarkEnd w:id="7"/>
    </w:p>
    <w:p w14:paraId="17ABAE57">
      <w:pPr>
        <w:pStyle w:val="5"/>
        <w:spacing w:line="360" w:lineRule="auto"/>
        <w:ind w:right="355" w:firstLine="480"/>
        <w:jc w:val="both"/>
      </w:pPr>
      <w:r>
        <w:rPr>
          <w:spacing w:val="-7"/>
        </w:rPr>
        <w:t>公司遵守商业道德和法律规定，建立了完备的合规体系。</w:t>
      </w:r>
      <w:r>
        <w:rPr>
          <w:rFonts w:hint="eastAsia"/>
          <w:spacing w:val="-7"/>
          <w:lang w:eastAsia="zh-CN"/>
        </w:rPr>
        <w:t>巨东</w:t>
      </w:r>
      <w:r>
        <w:rPr>
          <w:spacing w:val="-7"/>
        </w:rPr>
        <w:t>合规体系包</w:t>
      </w:r>
      <w:r>
        <w:rPr>
          <w:spacing w:val="-21"/>
        </w:rPr>
        <w:t>括内部合规制度、内部合规通报体系、内部监督制度和惩戒制度，重点关注环境、</w:t>
      </w:r>
      <w:r>
        <w:t>商业伦理、产品质量和供应链领域。</w:t>
      </w:r>
    </w:p>
    <w:p w14:paraId="38B3F65F">
      <w:pPr>
        <w:pStyle w:val="5"/>
        <w:spacing w:line="360" w:lineRule="auto"/>
        <w:ind w:right="360" w:firstLine="480"/>
        <w:jc w:val="both"/>
      </w:pPr>
      <w:r>
        <w:rPr>
          <w:spacing w:val="-8"/>
        </w:rPr>
        <w:t>公司员工遵循诚实守信、平等公正、符合法规、不谋私利、利益回避和信息</w:t>
      </w:r>
      <w:r>
        <w:rPr>
          <w:spacing w:val="-10"/>
        </w:rPr>
        <w:t>保密等基本准则。对待同事平等尊重；对待客户以提供高品质的产品和服务为己任；对待供应商诚信公正寻求双赢。此外，公司</w:t>
      </w:r>
      <w:r>
        <w:rPr>
          <w:rFonts w:hint="eastAsia"/>
          <w:spacing w:val="-10"/>
        </w:rPr>
        <w:t>由行政人事部兼职</w:t>
      </w:r>
      <w:r>
        <w:rPr>
          <w:spacing w:val="-10"/>
        </w:rPr>
        <w:t>招标办公室，还要求员工</w:t>
      </w:r>
      <w:r>
        <w:rPr>
          <w:spacing w:val="-7"/>
        </w:rPr>
        <w:t>在与政府等部门交易时必须要做到诚实、准确，严禁以公司或个人的名义向任何</w:t>
      </w:r>
      <w:r>
        <w:t>政府官员、党派等提供或许诺提供资金或财物以试图影响其决定。</w:t>
      </w:r>
    </w:p>
    <w:p w14:paraId="401CD419">
      <w:pPr>
        <w:pStyle w:val="2"/>
        <w:spacing w:line="360" w:lineRule="auto"/>
      </w:pPr>
      <w:bookmarkStart w:id="8" w:name="四、回报股东"/>
      <w:bookmarkEnd w:id="8"/>
      <w:bookmarkStart w:id="9" w:name="_Toc81224782"/>
      <w:r>
        <w:t>四、回报股东</w:t>
      </w:r>
      <w:bookmarkEnd w:id="9"/>
    </w:p>
    <w:p w14:paraId="73221E7C">
      <w:pPr>
        <w:pStyle w:val="5"/>
        <w:spacing w:line="360" w:lineRule="auto"/>
        <w:ind w:right="240" w:firstLine="480"/>
      </w:pPr>
      <w:r>
        <w:rPr>
          <w:spacing w:val="-6"/>
        </w:rPr>
        <w:t>企业只有不断创造股东价值，才能吸引股东资本，实现稳步发展。有效地提</w:t>
      </w:r>
      <w:r>
        <w:rPr>
          <w:spacing w:val="-7"/>
        </w:rPr>
        <w:t>升股东价值，能增强公司在资本市场的竞争力，同时也有利于公司的持续经营。</w:t>
      </w:r>
      <w:r>
        <w:rPr>
          <w:spacing w:val="-1"/>
        </w:rPr>
        <w:t xml:space="preserve">企业的决策者应主动协助股东和投资者增加对企业的了解，唤起对企业的兴趣， </w:t>
      </w:r>
      <w:r>
        <w:t>刺激投资者对企业的长期投资，在股东和投资者心目中树立良好的形象。</w:t>
      </w:r>
    </w:p>
    <w:p w14:paraId="7C74F59C">
      <w:pPr>
        <w:pStyle w:val="17"/>
        <w:numPr>
          <w:ilvl w:val="1"/>
          <w:numId w:val="3"/>
        </w:numPr>
        <w:tabs>
          <w:tab w:val="left" w:pos="600"/>
        </w:tabs>
        <w:spacing w:before="0" w:line="360" w:lineRule="auto"/>
        <w:rPr>
          <w:sz w:val="24"/>
        </w:rPr>
      </w:pPr>
      <w:r>
        <w:rPr>
          <w:sz w:val="24"/>
        </w:rPr>
        <w:t>保障股东权益</w:t>
      </w:r>
    </w:p>
    <w:p w14:paraId="5B1B5AB5">
      <w:pPr>
        <w:pStyle w:val="5"/>
        <w:spacing w:line="360" w:lineRule="auto"/>
        <w:ind w:right="359" w:firstLine="480"/>
        <w:jc w:val="both"/>
      </w:pPr>
      <w:r>
        <w:rPr>
          <w:spacing w:val="-5"/>
        </w:rPr>
        <w:t>公司始终坚持及时向债权人通报与其债权权益相关的重大信息，配合债权人</w:t>
      </w:r>
      <w:r>
        <w:rPr>
          <w:spacing w:val="-8"/>
        </w:rPr>
        <w:t>了解公司有关财务、经营和管理等情况，进一步加强投资者关系管理工作。针对</w:t>
      </w:r>
      <w:r>
        <w:rPr>
          <w:spacing w:val="-6"/>
        </w:rPr>
        <w:t>投资者关系管理中存在的薄弱环节，公司丰富和完善了公司的网站功能，建立网</w:t>
      </w:r>
      <w:r>
        <w:rPr>
          <w:spacing w:val="-20"/>
        </w:rPr>
        <w:t xml:space="preserve">络、电话、邮件等多方位的沟通渠道，通过充分的信息披露加强与投资者的沟通， </w:t>
      </w:r>
      <w:r>
        <w:rPr>
          <w:spacing w:val="-8"/>
        </w:rPr>
        <w:t>促进投资者对公司的了解和认同，树立公司良好的市场形象与投资者营造良好的</w:t>
      </w:r>
      <w:r>
        <w:t>内外沟通运行环境，保证投资者关系的健康、融洽发展。</w:t>
      </w:r>
    </w:p>
    <w:p w14:paraId="67C93469">
      <w:pPr>
        <w:pStyle w:val="2"/>
        <w:spacing w:line="360" w:lineRule="auto"/>
      </w:pPr>
      <w:bookmarkStart w:id="10" w:name="五、服务客户"/>
      <w:bookmarkEnd w:id="10"/>
      <w:bookmarkStart w:id="11" w:name="_Toc81224783"/>
      <w:r>
        <w:t>五、服务客户</w:t>
      </w:r>
      <w:bookmarkEnd w:id="11"/>
    </w:p>
    <w:p w14:paraId="243BCF53">
      <w:pPr>
        <w:pStyle w:val="5"/>
        <w:spacing w:line="360" w:lineRule="auto"/>
        <w:ind w:right="355" w:firstLine="480"/>
        <w:rPr>
          <w:rFonts w:hint="eastAsia"/>
        </w:rPr>
      </w:pPr>
      <w:r>
        <w:rPr>
          <w:rFonts w:hint="eastAsia"/>
        </w:rPr>
        <w:t xml:space="preserve">顾客关系处理的好坏直接影响到公司的信誉及市场占有率，公司 通过从以下途经积极提升顾客对品牌的满意度和建立与顾客的关系， 建立顾客关系管理，提高顾客的满意度和忠诚度。 </w:t>
      </w:r>
    </w:p>
    <w:p w14:paraId="6C5B97B5">
      <w:pPr>
        <w:pStyle w:val="5"/>
        <w:spacing w:line="360" w:lineRule="auto"/>
        <w:ind w:right="355" w:firstLine="480"/>
        <w:rPr>
          <w:rFonts w:hint="eastAsia"/>
        </w:rPr>
      </w:pPr>
      <w:r>
        <w:rPr>
          <w:rFonts w:hint="eastAsia"/>
        </w:rPr>
        <w:t xml:space="preserve">针对性的产品设计开发：本着以顾客为中心的设计理念，在产 品设计开发中，通过对不同产品的设计风格与功能需求来前瞻性地满 足各个市场和顾客的需要。 超越顾客要求的产品品质：公司实施全员品质管理，严格执行 ISO9001 质量体系的标准程序，对原材料控制，生产过程中的程序及 成品实施全程检测管理。针对市场反馈和生产过程中发现的改进需求 进行专项改进，对取得经济成果的以精神及物质上的奖励，提高产品 质量及效率，为顾客提供优质产品，提高顾客对产品的满意度。 </w:t>
      </w:r>
    </w:p>
    <w:p w14:paraId="6096F112">
      <w:pPr>
        <w:pStyle w:val="5"/>
        <w:spacing w:line="360" w:lineRule="auto"/>
        <w:ind w:right="355" w:firstLine="480"/>
        <w:rPr>
          <w:rFonts w:hint="eastAsia"/>
        </w:rPr>
      </w:pPr>
      <w:r>
        <w:rPr>
          <w:rFonts w:hint="eastAsia"/>
        </w:rPr>
        <w:t xml:space="preserve">品牌管理和宣传:公司获得台州市铝铸件十大名牌产品誉称号。 公司积极参加行业废旧产品展销会，通过与知名品牌企业的合作，不 断努力提高自身品牌的知名度和美誉度，提高企业和品牌的良好声誉， 让顾客感受到企业的社会责任感，从而更加忠于我们自己的品牌。 </w:t>
      </w:r>
    </w:p>
    <w:p w14:paraId="763B0A2D">
      <w:pPr>
        <w:pStyle w:val="5"/>
        <w:spacing w:line="360" w:lineRule="auto"/>
        <w:ind w:right="355" w:firstLine="480"/>
        <w:rPr>
          <w:rFonts w:hint="eastAsia"/>
          <w:lang w:val="en-US" w:eastAsia="zh-CN"/>
        </w:rPr>
      </w:pPr>
      <w:r>
        <w:rPr>
          <w:rFonts w:hint="eastAsia"/>
        </w:rPr>
        <w:t xml:space="preserve">互利互惠，政策支持:公司对信用良好的核心顾客加大授信额度 与期限，与重要客户都建立了长期合作伙伴关系，在质量、技术、交 付、服务等方面均签订协议，为对方提供最全面的服务体系，与其建 立长期稳定的合作关系。 </w:t>
      </w:r>
      <w:r>
        <w:rPr>
          <w:rFonts w:hint="eastAsia"/>
          <w:lang w:val="en-US" w:eastAsia="zh-CN"/>
        </w:rPr>
        <w:t xml:space="preserve"> </w:t>
      </w:r>
    </w:p>
    <w:p w14:paraId="76E629D5">
      <w:pPr>
        <w:pStyle w:val="5"/>
        <w:spacing w:line="360" w:lineRule="auto"/>
        <w:ind w:right="355"/>
      </w:pPr>
      <w:r>
        <w:rPr>
          <w:rFonts w:hint="eastAsia"/>
          <w:lang w:val="en-US" w:eastAsia="zh-CN"/>
        </w:rPr>
        <w:t xml:space="preserve">     </w:t>
      </w:r>
      <w:r>
        <w:rPr>
          <w:rFonts w:hint="eastAsia"/>
        </w:rPr>
        <w:t>全程服务式的售后服务机制:公司设立专门人员负责接待顾客 的来访和查询并接受顾客的抱怨和投诉。对顾客的来访全程陪同，引 导顾客了解公司文化、产品特色和管理过程，对顾客的抱怨和投诉全 程监控，进行验证后给予妥善处理方案直至问题圆满解决。</w:t>
      </w:r>
    </w:p>
    <w:p w14:paraId="4B367A55">
      <w:pPr>
        <w:pStyle w:val="2"/>
        <w:spacing w:line="360" w:lineRule="auto"/>
      </w:pPr>
      <w:bookmarkStart w:id="12" w:name="六、造福员工"/>
      <w:bookmarkEnd w:id="12"/>
      <w:bookmarkStart w:id="13" w:name="_Toc81224784"/>
      <w:r>
        <w:t>六、造福员工</w:t>
      </w:r>
      <w:bookmarkEnd w:id="13"/>
    </w:p>
    <w:p w14:paraId="4D96B0EE">
      <w:pPr>
        <w:pStyle w:val="5"/>
        <w:spacing w:line="360" w:lineRule="auto"/>
        <w:ind w:right="359" w:firstLine="480"/>
      </w:pPr>
      <w:r>
        <w:rPr>
          <w:rFonts w:hint="eastAsia"/>
          <w:spacing w:val="-10"/>
          <w:lang w:val="en-US"/>
        </w:rPr>
        <w:t>对于员工，</w:t>
      </w:r>
      <w:r>
        <w:rPr>
          <w:spacing w:val="-10"/>
        </w:rPr>
        <w:t>公司</w:t>
      </w:r>
      <w:r>
        <w:rPr>
          <w:rFonts w:hint="eastAsia"/>
          <w:spacing w:val="-10"/>
          <w:lang w:val="en-US"/>
        </w:rPr>
        <w:t>始终</w:t>
      </w:r>
      <w:r>
        <w:rPr>
          <w:spacing w:val="-10"/>
        </w:rPr>
        <w:t>“</w:t>
      </w:r>
      <w:r>
        <w:rPr>
          <w:rFonts w:hint="eastAsia"/>
          <w:spacing w:val="-10"/>
        </w:rPr>
        <w:t>专注、极致、匠心、智造</w:t>
      </w:r>
      <w:r>
        <w:rPr>
          <w:spacing w:val="-10"/>
        </w:rPr>
        <w:t>”的</w:t>
      </w:r>
      <w:r>
        <w:t>企业</w:t>
      </w:r>
      <w:r>
        <w:rPr>
          <w:rFonts w:hint="eastAsia"/>
          <w:lang w:val="en-US"/>
        </w:rPr>
        <w:t>精神</w:t>
      </w:r>
      <w:r>
        <w:t>，</w:t>
      </w:r>
      <w:r>
        <w:rPr>
          <w:rFonts w:hint="eastAsia"/>
          <w:lang w:val="en-US"/>
        </w:rPr>
        <w:t>致力于打造一个和谐的工作环境，</w:t>
      </w:r>
      <w:r>
        <w:t>让员工</w:t>
      </w:r>
      <w:r>
        <w:rPr>
          <w:rFonts w:hint="eastAsia"/>
          <w:lang w:val="en-US"/>
        </w:rPr>
        <w:t>轻松愉快地</w:t>
      </w:r>
      <w:r>
        <w:t>工作和生活。</w:t>
      </w:r>
    </w:p>
    <w:p w14:paraId="7718C551">
      <w:pPr>
        <w:pStyle w:val="17"/>
        <w:numPr>
          <w:ilvl w:val="1"/>
          <w:numId w:val="4"/>
        </w:numPr>
        <w:tabs>
          <w:tab w:val="left" w:pos="540"/>
        </w:tabs>
        <w:spacing w:before="0" w:line="360" w:lineRule="auto"/>
        <w:jc w:val="both"/>
        <w:rPr>
          <w:sz w:val="24"/>
        </w:rPr>
      </w:pPr>
      <w:r>
        <w:rPr>
          <w:sz w:val="24"/>
        </w:rPr>
        <w:t>确保员工权益</w:t>
      </w:r>
    </w:p>
    <w:p w14:paraId="7B0B071F">
      <w:pPr>
        <w:pStyle w:val="5"/>
        <w:spacing w:line="360" w:lineRule="auto"/>
        <w:ind w:right="359" w:firstLine="480"/>
        <w:jc w:val="both"/>
      </w:pPr>
      <w:r>
        <w:rPr>
          <w:spacing w:val="-7"/>
        </w:rPr>
        <w:t>在全球经济形势不稳定、变化多变的影响下，在公司身处逆境的时候，如何处理好职工利益和公司的利益关系，稳定队伍，凝聚人心，储备人才，是摆在公司管理层面前一个重要难题。员工是企业最宝贵的财富，企业的发展离不开员工</w:t>
      </w:r>
      <w:r>
        <w:rPr>
          <w:spacing w:val="-21"/>
        </w:rPr>
        <w:t>的辛勤劳动，公司始终秉承“</w:t>
      </w:r>
      <w:r>
        <w:rPr>
          <w:rFonts w:hint="eastAsia"/>
          <w:spacing w:val="-21"/>
        </w:rPr>
        <w:t>为员工创造机会</w:t>
      </w:r>
      <w:r>
        <w:rPr>
          <w:spacing w:val="-21"/>
        </w:rPr>
        <w:t>”的</w:t>
      </w:r>
      <w:r>
        <w:rPr>
          <w:rFonts w:hint="eastAsia"/>
          <w:spacing w:val="-21"/>
          <w:lang w:val="en-US"/>
        </w:rPr>
        <w:t>价值观</w:t>
      </w:r>
      <w:r>
        <w:rPr>
          <w:spacing w:val="-21"/>
        </w:rPr>
        <w:t xml:space="preserve">，在企业发展的同时， </w:t>
      </w:r>
      <w:r>
        <w:rPr>
          <w:spacing w:val="-8"/>
        </w:rPr>
        <w:t>没有忘记对员工的回报，并致力于提高和改善员工的工作环境，职业发展平台以</w:t>
      </w:r>
      <w:r>
        <w:t>及合适的收入。</w:t>
      </w:r>
    </w:p>
    <w:p w14:paraId="3167A688">
      <w:pPr>
        <w:pStyle w:val="5"/>
        <w:spacing w:line="360" w:lineRule="auto"/>
        <w:ind w:right="119" w:firstLine="480"/>
      </w:pPr>
      <w:r>
        <w:rPr>
          <w:spacing w:val="-6"/>
        </w:rPr>
        <w:t>当前严峻的</w:t>
      </w:r>
      <w:r>
        <w:rPr>
          <w:spacing w:val="-11"/>
        </w:rPr>
        <w:t>经济环境给企业的生存带来了巨大压力，公司现有的人力资源素质和结构与经营</w:t>
      </w:r>
      <w:r>
        <w:rPr>
          <w:spacing w:val="-12"/>
        </w:rPr>
        <w:t>规模失调，更与公司转型新模式的要求不匹配。在此情况下，企业不得不进行结构调整，优化人力资源结构，推行减员增效。并采取多种方式竞争上岗。对于年</w:t>
      </w:r>
      <w:r>
        <w:rPr>
          <w:spacing w:val="-15"/>
        </w:rPr>
        <w:t xml:space="preserve">纪大的员工企业不是简单的将其推向社会，而是尽最大的能力提高内退标准，企 </w:t>
      </w:r>
      <w:r>
        <w:rPr>
          <w:spacing w:val="-19"/>
        </w:rPr>
        <w:t>业内退员工工资标准高于行业和地区的标准，能够满足内退人员的基本生活保障。</w:t>
      </w:r>
      <w:r>
        <w:t>公司在减员增效过程中，未发生任何影响企业稳定、社会稳定的不良事件。</w:t>
      </w:r>
    </w:p>
    <w:p w14:paraId="4639D099">
      <w:pPr>
        <w:pStyle w:val="17"/>
        <w:numPr>
          <w:ilvl w:val="1"/>
          <w:numId w:val="4"/>
        </w:numPr>
        <w:tabs>
          <w:tab w:val="left" w:pos="540"/>
        </w:tabs>
        <w:spacing w:before="0" w:line="360" w:lineRule="auto"/>
        <w:rPr>
          <w:sz w:val="24"/>
        </w:rPr>
      </w:pPr>
      <w:r>
        <w:rPr>
          <w:sz w:val="24"/>
        </w:rPr>
        <w:t>重视职业健康安全</w:t>
      </w:r>
    </w:p>
    <w:p w14:paraId="23C8327F">
      <w:pPr>
        <w:pStyle w:val="5"/>
        <w:spacing w:line="360" w:lineRule="auto"/>
        <w:ind w:right="240" w:firstLine="480"/>
      </w:pPr>
      <w:r>
        <w:rPr>
          <w:spacing w:val="-21"/>
        </w:rPr>
        <w:t>公司始终坚持“</w:t>
      </w:r>
      <w:r>
        <w:rPr>
          <w:rFonts w:hint="eastAsia"/>
        </w:rPr>
        <w:t>保障生产安全， 关爱员工健康。</w:t>
      </w:r>
      <w:r>
        <w:rPr>
          <w:spacing w:val="-21"/>
        </w:rPr>
        <w:t>”的方针</w:t>
      </w:r>
      <w:r>
        <w:rPr>
          <w:rFonts w:hint="eastAsia"/>
          <w:spacing w:val="-21"/>
        </w:rPr>
        <w:t>，</w:t>
      </w:r>
      <w:r>
        <w:rPr>
          <w:spacing w:val="-15"/>
        </w:rPr>
        <w:t xml:space="preserve">以超前预防作为安全工作的核心，以安全生产责任制为重点，以安全评价、考核、责任追究和过程动态控制为手段， </w:t>
      </w:r>
      <w:r>
        <w:rPr>
          <w:spacing w:val="-1"/>
        </w:rPr>
        <w:t>以安全教育培训为保障，以安全生产标准化为主体，建立安全生产的长效机制。</w:t>
      </w:r>
    </w:p>
    <w:p w14:paraId="2A2B7DBC">
      <w:pPr>
        <w:pStyle w:val="5"/>
        <w:spacing w:line="360" w:lineRule="auto"/>
        <w:ind w:right="240" w:firstLine="480"/>
        <w:jc w:val="both"/>
        <w:rPr>
          <w:spacing w:val="-4"/>
        </w:rPr>
      </w:pPr>
      <w:r>
        <w:rPr>
          <w:spacing w:val="-11"/>
        </w:rPr>
        <w:t>公司十分重视、关爱员工的健康，除了按照国家及地方有关社会保险方面的</w:t>
      </w:r>
      <w:r>
        <w:rPr>
          <w:spacing w:val="-22"/>
        </w:rPr>
        <w:t xml:space="preserve">法律、法规参加社会养老保险、基本医疗保险、工伤保险、生育险等社会保险外， </w:t>
      </w:r>
      <w:r>
        <w:rPr>
          <w:spacing w:val="-8"/>
        </w:rPr>
        <w:t>为进一步</w:t>
      </w:r>
      <w:r>
        <w:rPr>
          <w:spacing w:val="-4"/>
        </w:rPr>
        <w:t>解决职工对医疗、健康的需求，为全体员工购买商业保险的补充医疗保险，为出差员工购买意外伤害保险，让职工更多的享受医疗保障，适度减轻个人住院费用负担、解决特殊工种岗位疾病导致的经济损失、补偿经常出差在外职工疾病、意外伤害和乘坐交通工具所引发的风险带来的损失，尽力完善员工的保障</w:t>
      </w:r>
      <w:r>
        <w:rPr>
          <w:rFonts w:hint="eastAsia"/>
          <w:spacing w:val="-4"/>
        </w:rPr>
        <w:t>范围，免除员工的后顾之忧。</w:t>
      </w:r>
    </w:p>
    <w:p w14:paraId="64DC9847">
      <w:pPr>
        <w:pStyle w:val="5"/>
        <w:spacing w:line="360" w:lineRule="auto"/>
        <w:ind w:right="240" w:firstLine="480"/>
        <w:jc w:val="both"/>
      </w:pPr>
      <w:r>
        <w:rPr>
          <w:rFonts w:hint="eastAsia"/>
          <w:spacing w:val="-4"/>
        </w:rPr>
        <w:t>公司也十分重视职工群众的身心健康，工会牵头成立</w:t>
      </w:r>
      <w:r>
        <w:rPr>
          <w:rFonts w:hint="eastAsia"/>
          <w:spacing w:val="-4"/>
          <w:lang w:val="en-US"/>
        </w:rPr>
        <w:t>兴趣小组</w:t>
      </w:r>
      <w:r>
        <w:rPr>
          <w:spacing w:val="-4"/>
        </w:rPr>
        <w:t>，积极开展活</w:t>
      </w:r>
      <w:r>
        <w:rPr>
          <w:spacing w:val="-21"/>
        </w:rPr>
        <w:t>动，并组织</w:t>
      </w:r>
      <w:r>
        <w:rPr>
          <w:rFonts w:hint="eastAsia"/>
          <w:spacing w:val="-21"/>
          <w:lang w:val="en-US"/>
        </w:rPr>
        <w:t>员工技能比拼、运动会</w:t>
      </w:r>
      <w:r>
        <w:rPr>
          <w:spacing w:val="-21"/>
        </w:rPr>
        <w:t>等</w:t>
      </w:r>
      <w:r>
        <w:rPr>
          <w:rFonts w:hint="eastAsia"/>
          <w:spacing w:val="-21"/>
          <w:lang w:val="en-US"/>
        </w:rPr>
        <w:t>活动</w:t>
      </w:r>
      <w:r>
        <w:rPr>
          <w:spacing w:val="-21"/>
        </w:rPr>
        <w:t>。职工可以根据自己的爱好特长和情趣，</w:t>
      </w:r>
      <w:r>
        <w:rPr>
          <w:spacing w:val="-7"/>
        </w:rPr>
        <w:t>展示自己的才华，充实精神生活，既活跃了职工的精神生活，也增强了企业的向心力和凝聚力。</w:t>
      </w:r>
    </w:p>
    <w:p w14:paraId="6B5D9E1A">
      <w:pPr>
        <w:pStyle w:val="17"/>
        <w:numPr>
          <w:ilvl w:val="1"/>
          <w:numId w:val="4"/>
        </w:numPr>
        <w:tabs>
          <w:tab w:val="left" w:pos="540"/>
        </w:tabs>
        <w:spacing w:before="0" w:line="360" w:lineRule="auto"/>
        <w:rPr>
          <w:sz w:val="24"/>
        </w:rPr>
      </w:pPr>
      <w:r>
        <w:rPr>
          <w:sz w:val="24"/>
        </w:rPr>
        <w:t>拓展员工职业成长</w:t>
      </w:r>
    </w:p>
    <w:p w14:paraId="18388F94">
      <w:pPr>
        <w:pStyle w:val="5"/>
        <w:spacing w:line="360" w:lineRule="auto"/>
        <w:ind w:right="240" w:firstLine="480"/>
        <w:jc w:val="both"/>
      </w:pPr>
      <w:r>
        <w:rPr>
          <w:spacing w:val="-4"/>
        </w:rPr>
        <w:t>随着公司产品结构优化调整步伐加快以及尽快提高公司技术创新能力，适应</w:t>
      </w:r>
      <w:r>
        <w:rPr>
          <w:spacing w:val="-10"/>
        </w:rPr>
        <w:t>市场对科技人才的需求，现有技术人员资源已不能满足公司发展的需要，为保证</w:t>
      </w:r>
      <w:r>
        <w:rPr>
          <w:spacing w:val="-13"/>
        </w:rPr>
        <w:t>公司各技术岗位能够及时有效地补充所需的优秀人才，适时、适度、适量地招收</w:t>
      </w:r>
      <w:r>
        <w:rPr>
          <w:spacing w:val="-17"/>
        </w:rPr>
        <w:t>一批不同地区不同学校的优秀大中专应届毕业生，并加以培养，使其尽快胜任工作，解决公司现有人力资源不足，改善公司人才结构，提高公司人才创新能力。</w:t>
      </w:r>
    </w:p>
    <w:p w14:paraId="69246CB3">
      <w:pPr>
        <w:pStyle w:val="5"/>
        <w:spacing w:line="360" w:lineRule="auto"/>
        <w:ind w:right="240" w:firstLine="480"/>
        <w:rPr>
          <w:spacing w:val="-22"/>
        </w:rPr>
      </w:pPr>
      <w:r>
        <w:rPr>
          <w:spacing w:val="-6"/>
        </w:rPr>
        <w:t>公司在招聘引进人才的同时，注重人才培养措施，根据公司发展的需要和稳</w:t>
      </w:r>
      <w:r>
        <w:rPr>
          <w:spacing w:val="-12"/>
        </w:rPr>
        <w:t>定人才的工作实际，建立技术、管理、技能人才骨干队伍，争取逐步形成结构合</w:t>
      </w:r>
      <w:r>
        <w:rPr>
          <w:spacing w:val="-11"/>
        </w:rPr>
        <w:t>理、高效精干的人才队伍群体，以满足公司参与市场竞争和追赶世界先进水平的</w:t>
      </w:r>
      <w:r>
        <w:rPr>
          <w:spacing w:val="-20"/>
        </w:rPr>
        <w:t>需要。为此，企业制定了人才培养措施和人才培训计划，确立“人才经营”和“逐级育人”的理念，面向市场和研发，实施人力结构调整，着力建设后备人才库</w:t>
      </w:r>
      <w:r>
        <w:rPr>
          <w:rFonts w:hint="eastAsia"/>
          <w:spacing w:val="-20"/>
          <w:lang w:eastAsia="zh-CN"/>
        </w:rPr>
        <w:t>；</w:t>
      </w:r>
      <w:r>
        <w:rPr>
          <w:spacing w:val="-13"/>
        </w:rPr>
        <w:t>增强人才队伍的责任感和使命感，强化企业荣誉感和忠诚教</w:t>
      </w:r>
      <w:r>
        <w:rPr>
          <w:spacing w:val="-11"/>
        </w:rPr>
        <w:t>育度，提高人才队伍的工作主动性、创造紧迫性，这不仅是公司发展需要，也是</w:t>
      </w:r>
      <w:r>
        <w:rPr>
          <w:spacing w:val="-15"/>
        </w:rPr>
        <w:t>国家建设制造强国的需要。公司不断完善用人机制，大力营造一个良好的施才环境，加大优秀人才的引进力度，以待遇吸引人，以事业留住人，以感情打动人。</w:t>
      </w:r>
      <w:r>
        <w:rPr>
          <w:spacing w:val="-22"/>
        </w:rPr>
        <w:t>采取多种渠道发现、培养、造就人才，实施“走出去、引进来”两条腿走路方略， 促进人才队伍技术技能素质的迅速提升。</w:t>
      </w:r>
    </w:p>
    <w:p w14:paraId="0E3C8A83">
      <w:pPr>
        <w:pStyle w:val="5"/>
        <w:spacing w:line="360" w:lineRule="auto"/>
        <w:ind w:right="240" w:firstLine="480"/>
        <w:rPr>
          <w:spacing w:val="-22"/>
        </w:rPr>
      </w:pPr>
      <w:r>
        <w:drawing>
          <wp:inline distT="0" distB="0" distL="114300" distR="114300">
            <wp:extent cx="5576570" cy="3877310"/>
            <wp:effectExtent l="0" t="0" r="1143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5576570" cy="3877310"/>
                    </a:xfrm>
                    <a:prstGeom prst="rect">
                      <a:avLst/>
                    </a:prstGeom>
                    <a:noFill/>
                    <a:ln>
                      <a:noFill/>
                    </a:ln>
                  </pic:spPr>
                </pic:pic>
              </a:graphicData>
            </a:graphic>
          </wp:inline>
        </w:drawing>
      </w:r>
    </w:p>
    <w:p w14:paraId="2298B334">
      <w:pPr>
        <w:pStyle w:val="17"/>
        <w:numPr>
          <w:ilvl w:val="1"/>
          <w:numId w:val="4"/>
        </w:numPr>
        <w:tabs>
          <w:tab w:val="left" w:pos="540"/>
        </w:tabs>
        <w:spacing w:before="0" w:line="360" w:lineRule="auto"/>
        <w:rPr>
          <w:sz w:val="24"/>
        </w:rPr>
      </w:pPr>
      <w:r>
        <w:rPr>
          <w:sz w:val="24"/>
        </w:rPr>
        <w:t>完善管理体制与软环境建设</w:t>
      </w:r>
    </w:p>
    <w:p w14:paraId="01D83D21">
      <w:pPr>
        <w:pStyle w:val="5"/>
        <w:spacing w:line="360" w:lineRule="auto"/>
        <w:ind w:left="600"/>
      </w:pPr>
      <w:r>
        <w:t>公司建立了以人为本的人力资源开发和管理工作系统、激励机制和员工培训</w:t>
      </w:r>
    </w:p>
    <w:p w14:paraId="38048955">
      <w:pPr>
        <w:pStyle w:val="5"/>
        <w:spacing w:line="360" w:lineRule="auto"/>
        <w:ind w:left="0" w:right="240"/>
      </w:pPr>
      <w:r>
        <w:rPr>
          <w:spacing w:val="-1"/>
        </w:rPr>
        <w:t>与教育体系。公司始终坚持观念创新、制度创新的原则，创造一种公平、公正、</w:t>
      </w:r>
      <w:r>
        <w:rPr>
          <w:spacing w:val="-9"/>
        </w:rPr>
        <w:t>公开的氛围，建立一套充分发挥个人潜能的机制，提供一个充分实现自我价值的</w:t>
      </w:r>
      <w:r>
        <w:rPr>
          <w:spacing w:val="-11"/>
        </w:rPr>
        <w:t>发展空间。公司人力资源部对各部门岗位进行普查，并进行关键岗位识别，加大</w:t>
      </w:r>
      <w:r>
        <w:rPr>
          <w:spacing w:val="-21"/>
        </w:rPr>
        <w:t xml:space="preserve">对关键岗位的人力资源配置和管理，建设公司后备人才梯队，完善人才引入制度， </w:t>
      </w:r>
      <w:r>
        <w:t>形成“能吸引、有门槛、留得住、有限制”的合理化人力资源管理。</w:t>
      </w:r>
    </w:p>
    <w:p w14:paraId="0E1CD11F">
      <w:pPr>
        <w:pStyle w:val="5"/>
        <w:spacing w:line="360" w:lineRule="auto"/>
        <w:ind w:right="355" w:firstLine="480"/>
        <w:jc w:val="both"/>
      </w:pPr>
      <w:r>
        <w:rPr>
          <w:spacing w:val="-6"/>
        </w:rPr>
        <w:t>人才的培养离不开软环境和硬环境的建设，软环境方面，加强技术人员、管</w:t>
      </w:r>
      <w:r>
        <w:rPr>
          <w:spacing w:val="-11"/>
        </w:rPr>
        <w:t>理人员、技术工人的团队建设，团队作为一个集体，是一个企业发展和竞争的核</w:t>
      </w:r>
      <w:r>
        <w:rPr>
          <w:spacing w:val="-21"/>
        </w:rPr>
        <w:t xml:space="preserve">心力量，企业与企业之间的竞争，关键是团队与团队之间的竞争，通过领导协调， </w:t>
      </w:r>
      <w:r>
        <w:rPr>
          <w:spacing w:val="-9"/>
        </w:rPr>
        <w:t>各团队分工合作，互敬、互爱、互助、互学，逐渐磨合，形成优势互补、取长补短，相互克服、相互激发，最终实现最高的工作效率。</w:t>
      </w:r>
    </w:p>
    <w:p w14:paraId="371AF224">
      <w:pPr>
        <w:pStyle w:val="17"/>
        <w:numPr>
          <w:ilvl w:val="1"/>
          <w:numId w:val="4"/>
        </w:numPr>
        <w:tabs>
          <w:tab w:val="left" w:pos="540"/>
        </w:tabs>
        <w:spacing w:before="0" w:line="360" w:lineRule="auto"/>
        <w:jc w:val="both"/>
        <w:rPr>
          <w:sz w:val="24"/>
        </w:rPr>
      </w:pPr>
      <w:r>
        <w:rPr>
          <w:sz w:val="24"/>
        </w:rPr>
        <w:t>构建祥和工作氛围</w:t>
      </w:r>
    </w:p>
    <w:p w14:paraId="7CD46DF0">
      <w:pPr>
        <w:pStyle w:val="17"/>
        <w:numPr>
          <w:ilvl w:val="0"/>
          <w:numId w:val="0"/>
        </w:numPr>
        <w:tabs>
          <w:tab w:val="left" w:pos="540"/>
        </w:tabs>
        <w:spacing w:before="0" w:line="360" w:lineRule="auto"/>
        <w:ind w:left="120" w:leftChars="0"/>
        <w:jc w:val="both"/>
        <w:rPr>
          <w:rFonts w:hint="default" w:eastAsia="宋体"/>
          <w:sz w:val="24"/>
          <w:lang w:val="en-US" w:eastAsia="zh-CN"/>
        </w:rPr>
      </w:pPr>
      <w:r>
        <w:rPr>
          <w:rFonts w:hint="eastAsia"/>
          <w:sz w:val="24"/>
          <w:lang w:val="en-US" w:eastAsia="zh-CN"/>
        </w:rPr>
        <w:t xml:space="preserve">  公司各类员工合同签订率 100%，并且严格按照合同各项条款执行，加班时间按照国家法律规定执行，执行“五险”制，社会保险实 现了的全覆盖。 公司员工享有年休假、产假、陪护假、婚丧假等各类假期，享受 困难职工慰问金、退休职工慰问金等；享受员工年度健康体检、每年 的中秋节、春节均给予发放节日福利。 巨东股份工会委员会自成立以来，充分发挥工会的先锋模范作用，为职工 谋福祉，保障职工的劳动权益。公司工会一直想职工所想，急职工所急，让职工能够真正体会到公司工会带给大家的实惠和便利。</w:t>
      </w:r>
    </w:p>
    <w:p w14:paraId="1D61A9BC">
      <w:pPr>
        <w:pStyle w:val="5"/>
        <w:spacing w:line="360" w:lineRule="auto"/>
        <w:ind w:right="240" w:firstLine="480"/>
      </w:pPr>
      <w:r>
        <w:rPr>
          <w:rFonts w:hint="eastAsia"/>
          <w:spacing w:val="-6"/>
        </w:rPr>
        <w:t>高层领导及时倾听广大员工的心声，了解员工支持和保障措施的 效果，进一步解决员工工作和生活中的实际问题和困难。公司每年都 会举办员工座谈会，吸取来自基层的各种意见和建议，通过职代会维 护员工的切身利益，调动广大员工的积极性，倾听员工的心声，对于 具名的员工申诉，公司开通了畅通的员工申诉管理通道。无论是建议 还是意见，对于各级人员的信息都进行详细的反馈，让员工了解到公 司关注了员工的想法，公司重视员工的想法</w:t>
      </w:r>
      <w:r>
        <w:rPr>
          <w:spacing w:val="-8"/>
        </w:rPr>
        <w:t>。</w:t>
      </w:r>
    </w:p>
    <w:p w14:paraId="76D8280D">
      <w:pPr>
        <w:pStyle w:val="5"/>
        <w:spacing w:line="360" w:lineRule="auto"/>
        <w:ind w:right="359" w:firstLine="480"/>
        <w:jc w:val="both"/>
        <w:rPr>
          <w:spacing w:val="-7"/>
        </w:rPr>
      </w:pPr>
      <w:r>
        <w:rPr>
          <w:rFonts w:hint="eastAsia"/>
          <w:spacing w:val="-10"/>
        </w:rPr>
        <w:t>公司十分重视劳动争议调解工作，派遣专人学习并获得调解员证书，积极开展本公司人员劳动争议预防工作</w:t>
      </w:r>
      <w:r>
        <w:rPr>
          <w:spacing w:val="-7"/>
        </w:rPr>
        <w:t>。</w:t>
      </w:r>
    </w:p>
    <w:p w14:paraId="2AB3BB20">
      <w:pPr>
        <w:pStyle w:val="5"/>
        <w:spacing w:line="360" w:lineRule="auto"/>
        <w:ind w:right="359" w:firstLine="480"/>
        <w:jc w:val="both"/>
        <w:rPr>
          <w:spacing w:val="-7"/>
        </w:rPr>
      </w:pPr>
      <w:r>
        <w:drawing>
          <wp:inline distT="0" distB="0" distL="114300" distR="114300">
            <wp:extent cx="5579110" cy="2964180"/>
            <wp:effectExtent l="0" t="0" r="8890" b="762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579110" cy="2964180"/>
                    </a:xfrm>
                    <a:prstGeom prst="rect">
                      <a:avLst/>
                    </a:prstGeom>
                    <a:noFill/>
                    <a:ln>
                      <a:noFill/>
                    </a:ln>
                  </pic:spPr>
                </pic:pic>
              </a:graphicData>
            </a:graphic>
          </wp:inline>
        </w:drawing>
      </w:r>
    </w:p>
    <w:p w14:paraId="3D6F978B">
      <w:pPr>
        <w:pStyle w:val="5"/>
        <w:spacing w:line="360" w:lineRule="auto"/>
        <w:ind w:right="359" w:firstLine="480"/>
        <w:jc w:val="both"/>
      </w:pPr>
      <w:r>
        <w:rPr>
          <w:spacing w:val="-7"/>
        </w:rPr>
        <w:t>家庭是企业的细胞，只有职</w:t>
      </w:r>
      <w:r>
        <w:rPr>
          <w:spacing w:val="-8"/>
        </w:rPr>
        <w:t>工家庭唱响和谐之音，职工才能全力以赴地投入到工作中，企业才能实现稳定发</w:t>
      </w:r>
      <w:r>
        <w:rPr>
          <w:spacing w:val="-10"/>
        </w:rPr>
        <w:t>展。公司深入实施文明家庭创建工程，努力构建和谐稳定家园，为公司的稳定健</w:t>
      </w:r>
      <w:r>
        <w:t>康发展创造安定向上的良好氛围。</w:t>
      </w:r>
    </w:p>
    <w:tbl>
      <w:tblPr>
        <w:tblStyle w:val="11"/>
        <w:tblW w:w="0" w:type="auto"/>
        <w:tblInd w:w="1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886"/>
      </w:tblGrid>
      <w:tr w14:paraId="2F504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86" w:type="dxa"/>
          </w:tcPr>
          <w:p w14:paraId="6F3AC5A4">
            <w:pPr>
              <w:pStyle w:val="5"/>
              <w:spacing w:line="360" w:lineRule="auto"/>
              <w:ind w:left="0" w:right="359"/>
              <w:jc w:val="both"/>
            </w:pPr>
            <w:r>
              <w:drawing>
                <wp:inline distT="0" distB="0" distL="114300" distR="114300">
                  <wp:extent cx="5503545" cy="4375785"/>
                  <wp:effectExtent l="0" t="0" r="8255" b="571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503545" cy="4375785"/>
                          </a:xfrm>
                          <a:prstGeom prst="rect">
                            <a:avLst/>
                          </a:prstGeom>
                          <a:noFill/>
                          <a:ln>
                            <a:noFill/>
                          </a:ln>
                        </pic:spPr>
                      </pic:pic>
                    </a:graphicData>
                  </a:graphic>
                </wp:inline>
              </w:drawing>
            </w:r>
          </w:p>
        </w:tc>
      </w:tr>
      <w:tr w14:paraId="14163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886" w:type="dxa"/>
          </w:tcPr>
          <w:p w14:paraId="6319B35B">
            <w:pPr>
              <w:pStyle w:val="5"/>
              <w:spacing w:line="360" w:lineRule="auto"/>
              <w:ind w:left="0" w:right="359"/>
              <w:jc w:val="center"/>
            </w:pPr>
            <w:r>
              <w:rPr>
                <w:rFonts w:hint="eastAsia"/>
              </w:rPr>
              <w:t>图6</w:t>
            </w:r>
            <w:r>
              <w:t xml:space="preserve">.5-1   </w:t>
            </w:r>
            <w:r>
              <w:rPr>
                <w:rFonts w:hint="eastAsia"/>
              </w:rPr>
              <w:t>员工福利</w:t>
            </w:r>
          </w:p>
        </w:tc>
      </w:tr>
    </w:tbl>
    <w:p w14:paraId="42A57C51">
      <w:pPr>
        <w:pStyle w:val="2"/>
        <w:spacing w:line="360" w:lineRule="auto"/>
      </w:pPr>
      <w:bookmarkStart w:id="14" w:name="七、奉献社会"/>
      <w:bookmarkEnd w:id="14"/>
      <w:bookmarkStart w:id="15" w:name="_Toc81224785"/>
      <w:r>
        <w:t>七、奉献社会</w:t>
      </w:r>
      <w:bookmarkEnd w:id="15"/>
    </w:p>
    <w:p w14:paraId="7870DCEB">
      <w:pPr>
        <w:pStyle w:val="5"/>
        <w:spacing w:line="360" w:lineRule="auto"/>
        <w:ind w:right="359" w:firstLine="480"/>
        <w:jc w:val="both"/>
        <w:rPr>
          <w:szCs w:val="22"/>
        </w:rPr>
      </w:pPr>
      <w:r>
        <w:rPr>
          <w:rFonts w:hint="eastAsia"/>
          <w:szCs w:val="22"/>
        </w:rPr>
        <w:t>公司发展离不开社会各界的支持，同时公司对社会也应履行社会责任。公司领导十分重视公益支持，积极主动履行公共责任，回报社会。</w:t>
      </w:r>
    </w:p>
    <w:p w14:paraId="13177506">
      <w:pPr>
        <w:pStyle w:val="5"/>
        <w:spacing w:line="360" w:lineRule="auto"/>
        <w:ind w:right="359" w:firstLine="480"/>
        <w:jc w:val="both"/>
        <w:rPr>
          <w:spacing w:val="-6"/>
        </w:rPr>
      </w:pPr>
      <w:r>
        <w:rPr>
          <w:rFonts w:hint="eastAsia"/>
          <w:szCs w:val="22"/>
        </w:rPr>
        <w:t>结合公司的发展战略，在公司战略规划上，专门规划出部分资金用于的公益活动。公司领导以身作则积极参与社会的公益活动，如积极赞助</w:t>
      </w:r>
      <w:r>
        <w:rPr>
          <w:rFonts w:hint="eastAsia"/>
          <w:szCs w:val="22"/>
          <w:lang w:val="en-US"/>
        </w:rPr>
        <w:t>红十字会、地方慈善分会</w:t>
      </w:r>
      <w:r>
        <w:rPr>
          <w:rFonts w:hint="eastAsia"/>
          <w:szCs w:val="22"/>
        </w:rPr>
        <w:t>，同时公司也积极参与节能环保公益活动，在</w:t>
      </w:r>
      <w:r>
        <w:rPr>
          <w:rFonts w:hint="eastAsia"/>
          <w:szCs w:val="22"/>
          <w:lang w:val="en-US" w:eastAsia="zh-CN"/>
        </w:rPr>
        <w:t>再生产品</w:t>
      </w:r>
      <w:r>
        <w:rPr>
          <w:rFonts w:hint="eastAsia"/>
          <w:szCs w:val="22"/>
        </w:rPr>
        <w:t>领域发挥着自己的作用，通过科学技术将节能做到最大化。多年来，公司在公益性捐款捐物累计已超过</w:t>
      </w:r>
      <w:r>
        <w:rPr>
          <w:rFonts w:hint="eastAsia"/>
          <w:szCs w:val="22"/>
          <w:lang w:val="en-US" w:eastAsia="zh-CN"/>
        </w:rPr>
        <w:t>40</w:t>
      </w:r>
      <w:r>
        <w:rPr>
          <w:szCs w:val="22"/>
        </w:rPr>
        <w:t>万元</w:t>
      </w:r>
      <w:r>
        <w:rPr>
          <w:spacing w:val="-6"/>
        </w:rPr>
        <w:t>。</w:t>
      </w:r>
    </w:p>
    <w:tbl>
      <w:tblPr>
        <w:tblStyle w:val="11"/>
        <w:tblW w:w="48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9"/>
        <w:gridCol w:w="4397"/>
      </w:tblGrid>
      <w:tr w14:paraId="4FD6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pct"/>
          </w:tcPr>
          <w:p w14:paraId="1F4B6C99">
            <w:pPr>
              <w:jc w:val="center"/>
              <w:rPr>
                <w:sz w:val="28"/>
                <w:szCs w:val="36"/>
                <w:lang w:val="en-US"/>
              </w:rPr>
            </w:pPr>
            <w:r>
              <w:rPr>
                <w:rFonts w:hint="eastAsia"/>
                <w:sz w:val="28"/>
                <w:szCs w:val="36"/>
                <w:lang w:val="en-US"/>
              </w:rPr>
              <w:t>时间</w:t>
            </w:r>
          </w:p>
        </w:tc>
        <w:tc>
          <w:tcPr>
            <w:tcW w:w="2510" w:type="pct"/>
          </w:tcPr>
          <w:p w14:paraId="08462034">
            <w:pPr>
              <w:jc w:val="center"/>
              <w:rPr>
                <w:sz w:val="28"/>
                <w:szCs w:val="36"/>
                <w:lang w:val="en-US"/>
              </w:rPr>
            </w:pPr>
            <w:r>
              <w:rPr>
                <w:rFonts w:hint="eastAsia"/>
                <w:sz w:val="28"/>
                <w:szCs w:val="36"/>
                <w:lang w:val="en-US"/>
              </w:rPr>
              <w:t>金额（万元）</w:t>
            </w:r>
          </w:p>
        </w:tc>
      </w:tr>
      <w:tr w14:paraId="3E8D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pct"/>
            <w:vAlign w:val="top"/>
          </w:tcPr>
          <w:p w14:paraId="2AC445EC">
            <w:pPr>
              <w:jc w:val="center"/>
              <w:rPr>
                <w:rFonts w:hint="eastAsia"/>
                <w:sz w:val="28"/>
                <w:szCs w:val="36"/>
                <w:lang w:val="en-US"/>
              </w:rPr>
            </w:pPr>
            <w:r>
              <w:rPr>
                <w:rFonts w:hint="eastAsia"/>
                <w:sz w:val="28"/>
                <w:szCs w:val="36"/>
                <w:lang w:val="en-US" w:eastAsia="zh-CN"/>
              </w:rPr>
              <w:t>2022</w:t>
            </w:r>
          </w:p>
        </w:tc>
        <w:tc>
          <w:tcPr>
            <w:tcW w:w="2510" w:type="pct"/>
            <w:vAlign w:val="top"/>
          </w:tcPr>
          <w:p w14:paraId="0EA5B03F">
            <w:pPr>
              <w:jc w:val="center"/>
              <w:rPr>
                <w:rFonts w:hint="eastAsia"/>
                <w:sz w:val="28"/>
                <w:szCs w:val="36"/>
                <w:lang w:val="en-US" w:eastAsia="zh-CN"/>
              </w:rPr>
            </w:pPr>
            <w:r>
              <w:rPr>
                <w:rFonts w:hint="eastAsia"/>
                <w:sz w:val="28"/>
                <w:szCs w:val="36"/>
                <w:lang w:val="en-US" w:eastAsia="zh-CN"/>
              </w:rPr>
              <w:t>10</w:t>
            </w:r>
          </w:p>
        </w:tc>
      </w:tr>
      <w:tr w14:paraId="261F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pct"/>
            <w:vAlign w:val="top"/>
          </w:tcPr>
          <w:p w14:paraId="6FF57C02">
            <w:pPr>
              <w:jc w:val="center"/>
              <w:rPr>
                <w:rFonts w:hint="eastAsia"/>
                <w:sz w:val="28"/>
                <w:szCs w:val="36"/>
              </w:rPr>
            </w:pPr>
            <w:r>
              <w:rPr>
                <w:rFonts w:hint="eastAsia"/>
                <w:sz w:val="28"/>
                <w:szCs w:val="36"/>
                <w:lang w:val="en-US" w:eastAsia="zh-CN"/>
              </w:rPr>
              <w:t>2023</w:t>
            </w:r>
          </w:p>
        </w:tc>
        <w:tc>
          <w:tcPr>
            <w:tcW w:w="2510" w:type="pct"/>
            <w:vAlign w:val="top"/>
          </w:tcPr>
          <w:p w14:paraId="0871BD83">
            <w:pPr>
              <w:jc w:val="center"/>
              <w:rPr>
                <w:rFonts w:hint="default"/>
                <w:sz w:val="28"/>
                <w:szCs w:val="36"/>
                <w:lang w:val="en-US" w:eastAsia="zh-CN"/>
              </w:rPr>
            </w:pPr>
            <w:r>
              <w:rPr>
                <w:rFonts w:hint="eastAsia"/>
                <w:sz w:val="28"/>
                <w:szCs w:val="36"/>
                <w:lang w:val="en-US" w:eastAsia="zh-CN"/>
              </w:rPr>
              <w:t>1.2</w:t>
            </w:r>
          </w:p>
        </w:tc>
      </w:tr>
      <w:tr w14:paraId="3D2A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9" w:type="pct"/>
            <w:vAlign w:val="top"/>
          </w:tcPr>
          <w:p w14:paraId="799ECC3D">
            <w:pPr>
              <w:jc w:val="center"/>
              <w:rPr>
                <w:rFonts w:hint="eastAsia"/>
                <w:sz w:val="28"/>
                <w:szCs w:val="36"/>
              </w:rPr>
            </w:pPr>
            <w:r>
              <w:rPr>
                <w:rFonts w:hint="eastAsia"/>
                <w:sz w:val="28"/>
                <w:szCs w:val="36"/>
                <w:lang w:val="en-US" w:eastAsia="zh-CN"/>
              </w:rPr>
              <w:t>2024</w:t>
            </w:r>
          </w:p>
        </w:tc>
        <w:tc>
          <w:tcPr>
            <w:tcW w:w="2510" w:type="pct"/>
            <w:vAlign w:val="top"/>
          </w:tcPr>
          <w:p w14:paraId="28C0EDD8">
            <w:pPr>
              <w:jc w:val="center"/>
              <w:rPr>
                <w:rFonts w:hint="eastAsia"/>
                <w:sz w:val="28"/>
                <w:szCs w:val="36"/>
                <w:lang w:val="en-US" w:eastAsia="zh-CN"/>
              </w:rPr>
            </w:pPr>
            <w:r>
              <w:rPr>
                <w:rFonts w:hint="eastAsia"/>
                <w:sz w:val="28"/>
                <w:szCs w:val="36"/>
                <w:lang w:val="en-US" w:eastAsia="zh-CN"/>
              </w:rPr>
              <w:t>10</w:t>
            </w:r>
          </w:p>
        </w:tc>
      </w:tr>
    </w:tbl>
    <w:p w14:paraId="2CBA3739">
      <w:pPr>
        <w:pStyle w:val="5"/>
        <w:spacing w:line="360" w:lineRule="auto"/>
        <w:ind w:right="359" w:firstLine="480"/>
        <w:jc w:val="center"/>
        <w:rPr>
          <w:lang w:val="en-US"/>
        </w:rPr>
      </w:pPr>
      <w:r>
        <w:rPr>
          <w:rFonts w:hint="eastAsia"/>
        </w:rPr>
        <w:t>图表</w:t>
      </w:r>
      <w:r>
        <w:rPr>
          <w:rFonts w:hint="eastAsia"/>
          <w:lang w:val="en-US"/>
        </w:rPr>
        <w:t>7</w:t>
      </w:r>
      <w:r>
        <w:rPr>
          <w:rFonts w:hint="eastAsia"/>
        </w:rPr>
        <w:t>.1-</w:t>
      </w:r>
      <w:r>
        <w:rPr>
          <w:rFonts w:hint="eastAsia"/>
          <w:lang w:val="en-US"/>
        </w:rPr>
        <w:t>1</w:t>
      </w:r>
      <w:r>
        <w:rPr>
          <w:rFonts w:hint="eastAsia"/>
        </w:rPr>
        <w:t xml:space="preserve"> </w:t>
      </w:r>
      <w:r>
        <w:rPr>
          <w:rFonts w:hint="eastAsia"/>
          <w:lang w:val="en-US"/>
        </w:rPr>
        <w:t>慈善捐赠案例</w:t>
      </w:r>
    </w:p>
    <w:p w14:paraId="326282EE">
      <w:pPr>
        <w:pStyle w:val="5"/>
        <w:spacing w:line="360" w:lineRule="auto"/>
        <w:ind w:right="359" w:firstLine="480"/>
        <w:jc w:val="center"/>
      </w:pPr>
      <w:r>
        <w:rPr>
          <w:rFonts w:hint="eastAsia"/>
        </w:rPr>
        <w:t xml:space="preserve"> </w:t>
      </w:r>
      <w:r>
        <w:drawing>
          <wp:inline distT="0" distB="0" distL="114300" distR="114300">
            <wp:extent cx="5577205" cy="4469765"/>
            <wp:effectExtent l="0" t="0" r="10795" b="63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tretch>
                      <a:fillRect/>
                    </a:stretch>
                  </pic:blipFill>
                  <pic:spPr>
                    <a:xfrm>
                      <a:off x="0" y="0"/>
                      <a:ext cx="5577205" cy="4469765"/>
                    </a:xfrm>
                    <a:prstGeom prst="rect">
                      <a:avLst/>
                    </a:prstGeom>
                    <a:noFill/>
                    <a:ln>
                      <a:noFill/>
                    </a:ln>
                  </pic:spPr>
                </pic:pic>
              </a:graphicData>
            </a:graphic>
          </wp:inline>
        </w:drawing>
      </w:r>
    </w:p>
    <w:p w14:paraId="679D9BA9">
      <w:pPr>
        <w:pStyle w:val="5"/>
        <w:spacing w:line="360" w:lineRule="auto"/>
        <w:ind w:right="359" w:firstLine="480"/>
        <w:jc w:val="center"/>
        <w:rPr>
          <w:lang w:val="en-US"/>
        </w:rPr>
      </w:pPr>
      <w:r>
        <w:rPr>
          <w:rFonts w:hint="eastAsia"/>
        </w:rPr>
        <w:t>图表</w:t>
      </w:r>
      <w:r>
        <w:rPr>
          <w:rFonts w:hint="eastAsia"/>
          <w:lang w:val="en-US"/>
        </w:rPr>
        <w:t>7</w:t>
      </w:r>
      <w:r>
        <w:rPr>
          <w:rFonts w:hint="eastAsia"/>
        </w:rPr>
        <w:t>.1-</w:t>
      </w:r>
      <w:r>
        <w:rPr>
          <w:rFonts w:hint="eastAsia"/>
          <w:lang w:val="en-US"/>
        </w:rPr>
        <w:t>2</w:t>
      </w:r>
      <w:r>
        <w:rPr>
          <w:rFonts w:hint="eastAsia"/>
        </w:rPr>
        <w:t xml:space="preserve"> </w:t>
      </w:r>
      <w:r>
        <w:rPr>
          <w:rFonts w:hint="eastAsia"/>
          <w:lang w:val="en-US"/>
        </w:rPr>
        <w:t>社会责任履行</w:t>
      </w:r>
    </w:p>
    <w:p w14:paraId="11B0E2B3">
      <w:pPr>
        <w:pStyle w:val="2"/>
        <w:spacing w:line="360" w:lineRule="auto"/>
      </w:pPr>
      <w:bookmarkStart w:id="16" w:name="八、合作伙伴"/>
      <w:bookmarkEnd w:id="16"/>
      <w:bookmarkStart w:id="17" w:name="_Toc81224786"/>
      <w:r>
        <w:rPr>
          <w:spacing w:val="-1"/>
        </w:rPr>
        <w:t>八、合作伙伴</w:t>
      </w:r>
      <w:bookmarkEnd w:id="17"/>
    </w:p>
    <w:p w14:paraId="7D40A999">
      <w:pPr>
        <w:pStyle w:val="5"/>
        <w:spacing w:line="360" w:lineRule="auto"/>
        <w:ind w:right="359" w:firstLine="480"/>
        <w:jc w:val="both"/>
      </w:pPr>
      <w:r>
        <w:rPr>
          <w:spacing w:val="-6"/>
        </w:rPr>
        <w:t>每一个伙伴关系都有其独特的成功因素，这与公司独特的环境相关联。然而</w:t>
      </w:r>
      <w:r>
        <w:rPr>
          <w:spacing w:val="-7"/>
        </w:rPr>
        <w:t>在不同产业国家与市场中，每个成功企业的业绩后面，有三个共同的因素存在于</w:t>
      </w:r>
      <w:r>
        <w:rPr>
          <w:spacing w:val="-9"/>
        </w:rPr>
        <w:t>每个成功的伙伴关系中：贡献、亲密、远景。这三个因素是促使伙伴关系成功不</w:t>
      </w:r>
      <w:r>
        <w:t>可或缺的因素。</w:t>
      </w:r>
    </w:p>
    <w:p w14:paraId="4DE46F34">
      <w:pPr>
        <w:pStyle w:val="17"/>
        <w:numPr>
          <w:ilvl w:val="1"/>
          <w:numId w:val="5"/>
        </w:numPr>
        <w:tabs>
          <w:tab w:val="left" w:pos="540"/>
        </w:tabs>
        <w:spacing w:before="0" w:line="360" w:lineRule="auto"/>
        <w:jc w:val="both"/>
        <w:rPr>
          <w:sz w:val="24"/>
        </w:rPr>
      </w:pPr>
      <w:r>
        <w:rPr>
          <w:rFonts w:hint="eastAsia"/>
          <w:sz w:val="24"/>
        </w:rPr>
        <w:t>共享共赢</w:t>
      </w:r>
    </w:p>
    <w:p w14:paraId="6A9CB563">
      <w:pPr>
        <w:pStyle w:val="5"/>
        <w:spacing w:line="360" w:lineRule="auto"/>
        <w:ind w:right="239" w:firstLine="480"/>
      </w:pPr>
      <w:r>
        <w:rPr>
          <w:spacing w:val="-12"/>
        </w:rPr>
        <w:t>公司早</w:t>
      </w:r>
      <w:r>
        <w:rPr>
          <w:spacing w:val="-15"/>
        </w:rPr>
        <w:t>年就推行供应商整合调整项目，即培养一批优秀的供应商</w:t>
      </w:r>
      <w:r>
        <w:rPr>
          <w:rFonts w:hint="eastAsia"/>
          <w:spacing w:val="-15"/>
        </w:rPr>
        <w:t>，</w:t>
      </w:r>
      <w:r>
        <w:rPr>
          <w:spacing w:val="-5"/>
        </w:rPr>
        <w:t>合并或放弃一批零散繁杂的小供应商，使得供应商的积极性得到了充分发挥，公</w:t>
      </w:r>
      <w:r>
        <w:rPr>
          <w:spacing w:val="-10"/>
        </w:rPr>
        <w:t>司与供应商的关系不再是简单的买卖关系，而是一种共生共荣</w:t>
      </w:r>
      <w:r>
        <w:rPr>
          <w:rFonts w:hint="eastAsia"/>
          <w:spacing w:val="-10"/>
        </w:rPr>
        <w:t>，共享共赢</w:t>
      </w:r>
      <w:r>
        <w:rPr>
          <w:spacing w:val="-10"/>
        </w:rPr>
        <w:t>的战略合作伙伴关</w:t>
      </w:r>
      <w:r>
        <w:rPr>
          <w:spacing w:val="-13"/>
        </w:rPr>
        <w:t>系。目前，公司与</w:t>
      </w:r>
      <w:r>
        <w:rPr>
          <w:rFonts w:hint="eastAsia"/>
          <w:spacing w:val="-13"/>
          <w:lang w:val="en-US"/>
        </w:rPr>
        <w:t>一些</w:t>
      </w:r>
      <w:r>
        <w:rPr>
          <w:spacing w:val="-10"/>
        </w:rPr>
        <w:t>国</w:t>
      </w:r>
      <w:r>
        <w:rPr>
          <w:rFonts w:hint="eastAsia"/>
          <w:spacing w:val="-10"/>
          <w:lang w:val="en-US"/>
        </w:rPr>
        <w:t>际</w:t>
      </w:r>
      <w:r>
        <w:rPr>
          <w:spacing w:val="-10"/>
        </w:rPr>
        <w:t>大型知名企业都建立了良好的合作关系。</w:t>
      </w:r>
    </w:p>
    <w:p w14:paraId="18329CDF">
      <w:pPr>
        <w:pStyle w:val="17"/>
        <w:numPr>
          <w:ilvl w:val="1"/>
          <w:numId w:val="5"/>
        </w:numPr>
        <w:tabs>
          <w:tab w:val="left" w:pos="540"/>
        </w:tabs>
        <w:spacing w:before="0" w:line="360" w:lineRule="auto"/>
        <w:jc w:val="both"/>
        <w:rPr>
          <w:sz w:val="24"/>
        </w:rPr>
      </w:pPr>
      <w:r>
        <w:rPr>
          <w:sz w:val="24"/>
        </w:rPr>
        <w:t>杜绝商业贿赂</w:t>
      </w:r>
    </w:p>
    <w:p w14:paraId="2282EE31">
      <w:pPr>
        <w:pStyle w:val="5"/>
        <w:spacing w:line="360" w:lineRule="auto"/>
        <w:ind w:right="359" w:firstLine="480"/>
        <w:jc w:val="both"/>
      </w:pPr>
      <w:r>
        <w:rPr>
          <w:spacing w:val="-9"/>
        </w:rPr>
        <w:t>随着公司的发展，供应商采购管理中的地位显得越来越重要。公司对供应商</w:t>
      </w:r>
      <w:r>
        <w:rPr>
          <w:spacing w:val="-10"/>
        </w:rPr>
        <w:t>的选择是在</w:t>
      </w:r>
      <w:r>
        <w:t>ISO9001</w:t>
      </w:r>
      <w:r>
        <w:rPr>
          <w:spacing w:val="-32"/>
        </w:rPr>
        <w:t>、</w:t>
      </w:r>
      <w:r>
        <w:t>ISO14000</w:t>
      </w:r>
      <w:r>
        <w:rPr>
          <w:spacing w:val="-32"/>
        </w:rPr>
        <w:t>、</w:t>
      </w:r>
      <w:r>
        <w:rPr>
          <w:rFonts w:hint="eastAsia"/>
        </w:rPr>
        <w:t>ISO45001</w:t>
      </w:r>
      <w:r>
        <w:rPr>
          <w:spacing w:val="-11"/>
        </w:rPr>
        <w:t>三大体系文件的原则下进行的。公</w:t>
      </w:r>
      <w:r>
        <w:rPr>
          <w:spacing w:val="-10"/>
        </w:rPr>
        <w:t>司固定资产购建、原辅材料采购、大宗办公用品采购以及闲置资产处置等原则上</w:t>
      </w:r>
      <w:r>
        <w:rPr>
          <w:spacing w:val="-7"/>
        </w:rPr>
        <w:t>都采用招标方式进行采购。这不仅给供应商搭建一个公平、公开、公正的竞争平</w:t>
      </w:r>
      <w:r>
        <w:rPr>
          <w:spacing w:val="-10"/>
        </w:rPr>
        <w:t>台，也对供应商的不断推陈出新、优胜劣汰建立了正常渠道，并且能有效杜绝商业贿赂，维护供应商的利益，保证了供应商队伍的健康发展，同时也保证了公司</w:t>
      </w:r>
      <w:r>
        <w:t>倡导的“阳光采购”工程建设。</w:t>
      </w:r>
      <w:bookmarkStart w:id="18" w:name="九、社会认可"/>
      <w:bookmarkEnd w:id="18"/>
    </w:p>
    <w:p w14:paraId="1B9C670F">
      <w:pPr>
        <w:pStyle w:val="2"/>
        <w:spacing w:line="360" w:lineRule="auto"/>
      </w:pPr>
      <w:bookmarkStart w:id="19" w:name="十、存在问题及改进"/>
      <w:bookmarkEnd w:id="19"/>
      <w:bookmarkStart w:id="20" w:name="_Toc81224787"/>
      <w:r>
        <w:rPr>
          <w:rFonts w:hint="eastAsia"/>
        </w:rPr>
        <w:t>九</w:t>
      </w:r>
      <w:r>
        <w:t>、存在问题及改进</w:t>
      </w:r>
      <w:bookmarkEnd w:id="20"/>
    </w:p>
    <w:p w14:paraId="423873AB">
      <w:pPr>
        <w:pStyle w:val="5"/>
        <w:spacing w:line="360" w:lineRule="auto"/>
        <w:ind w:right="355" w:firstLine="480"/>
      </w:pPr>
      <w:r>
        <w:t>公司在履行社会责任各方面做了大量的工作，但与相关规定仍存在差距。</w:t>
      </w:r>
      <w:r>
        <w:rPr>
          <w:rFonts w:hint="eastAsia"/>
        </w:rPr>
        <w:t>2020</w:t>
      </w:r>
      <w:r>
        <w:t>年，经济下行压力增大，市场需求低迷，面对中国经济新常态下的发展， 不得不面对</w:t>
      </w:r>
      <w:r>
        <w:rPr>
          <w:rFonts w:hint="eastAsia"/>
          <w:lang w:eastAsia="zh-CN"/>
        </w:rPr>
        <w:t>巨东</w:t>
      </w:r>
      <w:r>
        <w:t>转型发展中的不适应：一是规模和效益方面：2020</w:t>
      </w:r>
      <w:r>
        <w:rPr>
          <w:spacing w:val="-20"/>
        </w:rPr>
        <w:t>年以</w:t>
      </w:r>
      <w:r>
        <w:rPr>
          <w:spacing w:val="-22"/>
        </w:rPr>
        <w:t>来，公司整体经济效益</w:t>
      </w:r>
      <w:r>
        <w:rPr>
          <w:rFonts w:hint="eastAsia"/>
          <w:spacing w:val="-22"/>
        </w:rPr>
        <w:t>增长趋势走低</w:t>
      </w:r>
      <w:r>
        <w:rPr>
          <w:spacing w:val="-22"/>
        </w:rPr>
        <w:t>，公司经营管理有待进一步完善。</w:t>
      </w:r>
      <w:r>
        <w:rPr>
          <w:spacing w:val="-7"/>
        </w:rPr>
        <w:t>二是人员结构和薪酬方面：人员结构优化结果与预期还有差距，薪酬结构和薪酬</w:t>
      </w:r>
      <w:r>
        <w:t>水平与规模和效益不匹配，有待进一步深化改革。三是国际化的竞争水平不高， 国际化战略刚见雏形、国际化市场资源配备不科学。四是商业模式传统并单一， 还未完全实现工业服务商转型。</w:t>
      </w:r>
    </w:p>
    <w:p w14:paraId="79E9FE24">
      <w:pPr>
        <w:pStyle w:val="5"/>
        <w:spacing w:line="360" w:lineRule="auto"/>
        <w:ind w:right="359" w:firstLine="480"/>
        <w:rPr>
          <w:spacing w:val="-11"/>
        </w:rPr>
      </w:pPr>
      <w:r>
        <w:t>未来三年，是我们 “雄鹰展翅翱翔”之年。公司将继续专注于</w:t>
      </w:r>
      <w:r>
        <w:rPr>
          <w:rFonts w:hint="eastAsia"/>
          <w:lang w:val="en-US" w:eastAsia="zh-CN"/>
        </w:rPr>
        <w:t>再生产品</w:t>
      </w:r>
      <w:r>
        <w:rPr>
          <w:rFonts w:hint="eastAsia"/>
          <w:lang w:val="en-US"/>
        </w:rPr>
        <w:t>等产品</w:t>
      </w:r>
      <w:r>
        <w:rPr>
          <w:spacing w:val="-9"/>
        </w:rPr>
        <w:t>的研发、生产和销售业务，瞄准国际前沿技术，坚持以实业经营为</w:t>
      </w:r>
      <w:r>
        <w:rPr>
          <w:rFonts w:hint="eastAsia"/>
          <w:spacing w:val="-9"/>
          <w:lang w:val="en-US"/>
        </w:rPr>
        <w:t>根</w:t>
      </w:r>
      <w:r>
        <w:rPr>
          <w:spacing w:val="-9"/>
        </w:rPr>
        <w:t>本，以资</w:t>
      </w:r>
      <w:r>
        <w:rPr>
          <w:spacing w:val="-10"/>
        </w:rPr>
        <w:t>本运作为手段，二者循环促进，推动公司成为</w:t>
      </w:r>
      <w:r>
        <w:rPr>
          <w:rFonts w:hint="eastAsia"/>
          <w:spacing w:val="-10"/>
          <w:lang w:val="en-US" w:eastAsia="zh-CN"/>
        </w:rPr>
        <w:t>再生产品</w:t>
      </w:r>
      <w:r>
        <w:rPr>
          <w:spacing w:val="-10"/>
        </w:rPr>
        <w:t>行业的创新者和领导者</w:t>
      </w:r>
      <w:r>
        <w:rPr>
          <w:spacing w:val="-19"/>
        </w:rPr>
        <w:t>。</w:t>
      </w:r>
      <w:r>
        <w:rPr>
          <w:rFonts w:hint="eastAsia"/>
          <w:spacing w:val="-11"/>
        </w:rPr>
        <w:t>明确了发展战略为：</w:t>
      </w:r>
    </w:p>
    <w:p w14:paraId="7A8F39C0">
      <w:pPr>
        <w:pStyle w:val="5"/>
        <w:spacing w:line="360" w:lineRule="auto"/>
        <w:ind w:right="360" w:firstLine="480"/>
        <w:jc w:val="both"/>
        <w:rPr>
          <w:rFonts w:hint="eastAsia"/>
          <w:sz w:val="24"/>
          <w:szCs w:val="24"/>
          <w:lang w:val="en-US"/>
        </w:rPr>
      </w:pPr>
      <w:r>
        <w:rPr>
          <w:rFonts w:hint="eastAsia"/>
          <w:sz w:val="24"/>
          <w:szCs w:val="24"/>
          <w:lang w:val="en-US"/>
        </w:rPr>
        <w:t>基于当前和未来的经济形势和市场环境分析，公司对自身定位如下：</w:t>
      </w:r>
    </w:p>
    <w:p w14:paraId="7EEEE426">
      <w:pPr>
        <w:pStyle w:val="5"/>
        <w:spacing w:line="360" w:lineRule="auto"/>
        <w:ind w:right="360" w:firstLine="480"/>
        <w:jc w:val="both"/>
        <w:rPr>
          <w:rFonts w:hint="eastAsia"/>
          <w:sz w:val="24"/>
          <w:szCs w:val="24"/>
          <w:lang w:val="en-US"/>
        </w:rPr>
      </w:pPr>
      <w:r>
        <w:rPr>
          <w:rFonts w:hint="eastAsia"/>
          <w:sz w:val="24"/>
          <w:szCs w:val="24"/>
          <w:lang w:val="en-US"/>
        </w:rPr>
        <w:t>一是以拆解出来的废黄铜、锌锭、除渣剂为原料，建设年深加工 2 万吨再生铜生产线。</w:t>
      </w:r>
    </w:p>
    <w:p w14:paraId="23C3364A">
      <w:pPr>
        <w:pStyle w:val="5"/>
        <w:spacing w:line="360" w:lineRule="auto"/>
        <w:ind w:right="360" w:firstLine="480"/>
        <w:jc w:val="both"/>
        <w:rPr>
          <w:rFonts w:hint="eastAsia"/>
          <w:sz w:val="24"/>
          <w:szCs w:val="24"/>
          <w:lang w:val="en-US"/>
        </w:rPr>
      </w:pPr>
      <w:r>
        <w:rPr>
          <w:rFonts w:hint="eastAsia"/>
          <w:sz w:val="24"/>
          <w:szCs w:val="24"/>
          <w:lang w:val="en-US"/>
        </w:rPr>
        <w:t xml:space="preserve">二是利用公司拆解的废铝深加工铝锭及铝铸件产品，项目建设有利于推动台州废旧金属产业基地建设，有利于提高 废旧金属资源再生利用水平、提高产品的附加值，有利于推动台州废 旧金属回收利用行业从简单拆解业务向生产加工业务，向下游汽摩及 配件、机电行业的深加工及新产品开发的方向延伸。 根据公司 2021 发展规划，主要业务分为三大板块。 </w:t>
      </w:r>
    </w:p>
    <w:p w14:paraId="54ECDC8A">
      <w:pPr>
        <w:pStyle w:val="5"/>
        <w:spacing w:line="360" w:lineRule="auto"/>
        <w:ind w:right="360" w:firstLine="480"/>
        <w:jc w:val="both"/>
        <w:rPr>
          <w:rFonts w:hint="eastAsia"/>
          <w:sz w:val="24"/>
          <w:szCs w:val="24"/>
          <w:lang w:val="en-US"/>
        </w:rPr>
      </w:pPr>
      <w:r>
        <w:rPr>
          <w:rFonts w:hint="eastAsia"/>
          <w:sz w:val="24"/>
          <w:szCs w:val="24"/>
          <w:lang w:val="en-US"/>
        </w:rPr>
        <w:t xml:space="preserve">精深加工板块：以铜事业部、铝事业部、精密铸造和金锋塑料新材料为主体，配套建有技术研发中心，实现从废铜、废铝、废钢、废 塑料到汽摩配件、铜线铜阀、精密铸件、塑料新材料的全套生产流程。 项目发展成熟后，公司将拥有铜铝深加工各 10 万吨，废钢 30 万吨， 塑料 3 万吨的生产能力，实现工业产值 100 亿元。 </w:t>
      </w:r>
    </w:p>
    <w:p w14:paraId="32335AC9">
      <w:pPr>
        <w:pStyle w:val="5"/>
        <w:spacing w:line="360" w:lineRule="auto"/>
        <w:ind w:right="360" w:firstLine="480"/>
        <w:jc w:val="both"/>
        <w:rPr>
          <w:rFonts w:hint="eastAsia"/>
          <w:sz w:val="24"/>
          <w:szCs w:val="24"/>
          <w:lang w:val="en-US"/>
        </w:rPr>
      </w:pPr>
      <w:r>
        <w:rPr>
          <w:rFonts w:hint="eastAsia"/>
          <w:sz w:val="24"/>
          <w:szCs w:val="24"/>
          <w:lang w:val="en-US"/>
        </w:rPr>
        <w:t>拆解及贸易板块：积极响应国家“一带一路”倡议，公司充分利 用在欧美日等国长期经营所建立的供应商、贸易网络以及子公司“东 和株式会社”的平台，开拓东南亚及中东拆解业务。并通过配套建成 的有色金属及废钢保税仓库，将拆解后的铜、铝、特钢、废钢等单一 金属采购回国，以服务台州制造业的需求。该板块将实现年 100 亿元 贸易额。</w:t>
      </w:r>
    </w:p>
    <w:p w14:paraId="6727681D">
      <w:pPr>
        <w:pStyle w:val="5"/>
        <w:spacing w:line="360" w:lineRule="auto"/>
        <w:ind w:right="360" w:firstLine="480"/>
        <w:jc w:val="both"/>
        <w:rPr>
          <w:lang w:val="en-US"/>
        </w:rPr>
      </w:pPr>
      <w:r>
        <w:rPr>
          <w:rFonts w:hint="eastAsia"/>
          <w:sz w:val="24"/>
          <w:szCs w:val="24"/>
          <w:lang w:val="en-US"/>
        </w:rPr>
        <w:t>国内回收体系板块：公司规划着力打造立足浙江、辐射长三角地 区的再生资源回收体系。通过国内回收体系的建立，掌握国内再生资 源定价的话语权，为“台州制造”抢占资源。在线下布点及线上市场 开发完善后，实现 500 亿元交易额的目标。通过构建国内回收体系， 从而形成地方区域的再生金属资源价格“洼地”。由于有废旧金属原 料进项发票，可大大减轻下游利用企业经营成本，非常有利于废旧金属精深加工行业集聚发展。巨东股份地处台州金属基地为三类工业用 地，经过多年发展，处理工艺技术先进，有完善的环保处理设施，有 长期从事废弃资源利用的企业和人才。公司拟对固废有色金属、报废 汽车、家电、线路板、废电池等回收利用进行总体规划，建立国内回 收体系，这个市场的空间将是公司未来发展的着力点</w:t>
      </w:r>
      <w:r>
        <w:rPr>
          <w:rFonts w:hint="eastAsia"/>
          <w:lang w:val="en-US"/>
        </w:rPr>
        <w:t>。</w:t>
      </w:r>
    </w:p>
    <w:p w14:paraId="2F596F6D">
      <w:pPr>
        <w:pStyle w:val="5"/>
        <w:spacing w:line="360" w:lineRule="auto"/>
        <w:ind w:right="360" w:firstLine="480"/>
        <w:jc w:val="both"/>
        <w:rPr>
          <w:lang w:val="en-US"/>
        </w:rPr>
      </w:pPr>
    </w:p>
    <w:p w14:paraId="673D8B96">
      <w:pPr>
        <w:pStyle w:val="5"/>
        <w:spacing w:line="360" w:lineRule="auto"/>
        <w:ind w:right="360" w:firstLine="480"/>
        <w:jc w:val="right"/>
        <w:rPr>
          <w:lang w:val="en-US"/>
        </w:rPr>
      </w:pPr>
    </w:p>
    <w:p w14:paraId="696D63D4">
      <w:pPr>
        <w:pStyle w:val="5"/>
        <w:spacing w:line="360" w:lineRule="auto"/>
        <w:ind w:right="360" w:firstLine="480"/>
        <w:jc w:val="right"/>
        <w:rPr>
          <w:rFonts w:hint="eastAsia" w:eastAsia="宋体"/>
          <w:lang w:val="en-US" w:eastAsia="zh-CN"/>
        </w:rPr>
      </w:pPr>
      <w:bookmarkStart w:id="21" w:name="_GoBack"/>
      <w:bookmarkEnd w:id="21"/>
      <w:r>
        <w:rPr>
          <w:rFonts w:hint="eastAsia"/>
          <w:lang w:val="en-US" w:eastAsia="zh-CN"/>
        </w:rPr>
        <w:t>浙江巨东股份有限公司</w:t>
      </w:r>
    </w:p>
    <w:p w14:paraId="29807AA8">
      <w:pPr>
        <w:pStyle w:val="5"/>
        <w:spacing w:line="360" w:lineRule="auto"/>
        <w:ind w:right="360" w:firstLine="480"/>
        <w:jc w:val="right"/>
        <w:rPr>
          <w:lang w:val="en-US"/>
        </w:rPr>
      </w:pPr>
      <w:r>
        <w:rPr>
          <w:rFonts w:hint="eastAsia"/>
          <w:lang w:val="en-US"/>
        </w:rPr>
        <w:t>2</w:t>
      </w:r>
      <w:r>
        <w:rPr>
          <w:lang w:val="en-US"/>
        </w:rPr>
        <w:t>02</w:t>
      </w:r>
      <w:r>
        <w:rPr>
          <w:rFonts w:hint="eastAsia"/>
          <w:lang w:val="en-US" w:eastAsia="zh-CN"/>
        </w:rPr>
        <w:t>5</w:t>
      </w:r>
      <w:r>
        <w:rPr>
          <w:rFonts w:hint="eastAsia"/>
          <w:lang w:val="en-US"/>
        </w:rPr>
        <w:t>年1</w:t>
      </w:r>
      <w:r>
        <w:rPr>
          <w:rFonts w:hint="eastAsia"/>
          <w:lang w:val="en-US" w:eastAsia="zh-CN"/>
        </w:rPr>
        <w:t>0</w:t>
      </w:r>
      <w:r>
        <w:rPr>
          <w:rFonts w:hint="eastAsia"/>
          <w:lang w:val="en-US"/>
        </w:rPr>
        <w:t>月</w:t>
      </w:r>
    </w:p>
    <w:sectPr>
      <w:footerReference r:id="rId6" w:type="default"/>
      <w:pgSz w:w="11910" w:h="16840"/>
      <w:pgMar w:top="1420" w:right="1440" w:bottom="1380" w:left="1680" w:header="877" w:footer="1197"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E697E">
    <w:pPr>
      <w:pStyle w:val="5"/>
      <w:spacing w:line="14" w:lineRule="auto"/>
      <w:ind w:left="0"/>
      <w:rPr>
        <w:sz w:val="20"/>
      </w:rPr>
    </w:pPr>
    <w:r>
      <w:rPr>
        <w:sz w:val="20"/>
      </w:rPr>
      <w:pict>
        <v:shape id="_x0000_s4098" o:spid="_x0000_s4098" o:spt="202" type="#_x0000_t202" style="position:absolute;left:0pt;margin-top:0pt;height:144pt;width:144pt;mso-position-horizontal:lef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21CD036C">
                <w:pPr>
                  <w:pStyle w:val="6"/>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F5187">
    <w:pPr>
      <w:pStyle w:val="5"/>
      <w:spacing w:line="14" w:lineRule="auto"/>
      <w:ind w:left="0"/>
      <w:rPr>
        <w:sz w:val="20"/>
      </w:rPr>
    </w:pPr>
    <w:r>
      <w:rPr>
        <w:sz w:val="20"/>
      </w:rPr>
      <w:pict>
        <v:shape id="_x0000_s4099" o:spid="_x0000_s4099" o:spt="202" type="#_x0000_t202" style="position:absolute;left:0pt;margin-top:0pt;height:144pt;width:144pt;mso-position-horizontal:lef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23B48D71">
                <w:pPr>
                  <w:pStyle w:val="6"/>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4C0B9">
    <w:pPr>
      <w:spacing w:line="200" w:lineRule="exact"/>
      <w:rPr>
        <w:sz w:val="20"/>
        <w:szCs w:val="20"/>
      </w:rPr>
    </w:pPr>
    <w:r>
      <w:rPr>
        <w:sz w:val="20"/>
      </w:rPr>
      <w:pict>
        <v:shape id="_x0000_s4100" o:spid="_x0000_s4100" o:spt="202" type="#_x0000_t202" style="position:absolute;left:0pt;margin-top:0pt;height:144pt;width:144pt;mso-position-horizontal:lef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748BF3D0">
                <w:pPr>
                  <w:pStyle w:val="6"/>
                </w:pPr>
                <w:r>
                  <w:fldChar w:fldCharType="begin"/>
                </w:r>
                <w:r>
                  <w:instrText xml:space="preserve"> PAGE  \* MERGEFORMAT </w:instrText>
                </w:r>
                <w:r>
                  <w:fldChar w:fldCharType="separate"/>
                </w:r>
                <w:r>
                  <w:t>2</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751A9">
    <w:pPr>
      <w:pStyle w:val="7"/>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6"/>
      <w:numFmt w:val="decimal"/>
      <w:lvlText w:val="%1"/>
      <w:lvlJc w:val="left"/>
      <w:pPr>
        <w:ind w:left="540" w:hanging="420"/>
      </w:pPr>
      <w:rPr>
        <w:rFonts w:hint="default"/>
        <w:lang w:val="zh-CN" w:eastAsia="zh-CN" w:bidi="zh-CN"/>
      </w:rPr>
    </w:lvl>
    <w:lvl w:ilvl="1" w:tentative="0">
      <w:start w:val="1"/>
      <w:numFmt w:val="decimal"/>
      <w:lvlText w:val="%1.%2"/>
      <w:lvlJc w:val="left"/>
      <w:pPr>
        <w:ind w:left="54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abstractNum w:abstractNumId="1">
    <w:nsid w:val="BF205925"/>
    <w:multiLevelType w:val="multilevel"/>
    <w:tmpl w:val="BF205925"/>
    <w:lvl w:ilvl="0" w:tentative="0">
      <w:start w:val="4"/>
      <w:numFmt w:val="decimal"/>
      <w:lvlText w:val="%1"/>
      <w:lvlJc w:val="left"/>
      <w:pPr>
        <w:ind w:left="600" w:hanging="480"/>
      </w:pPr>
      <w:rPr>
        <w:rFonts w:hint="default"/>
        <w:lang w:val="zh-CN" w:eastAsia="zh-CN" w:bidi="zh-CN"/>
      </w:rPr>
    </w:lvl>
    <w:lvl w:ilvl="1" w:tentative="0">
      <w:start w:val="1"/>
      <w:numFmt w:val="decimal"/>
      <w:lvlText w:val="%1.%2"/>
      <w:lvlJc w:val="left"/>
      <w:pPr>
        <w:ind w:left="60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600" w:hanging="480"/>
      </w:pPr>
      <w:rPr>
        <w:rFonts w:hint="default"/>
        <w:lang w:val="zh-CN" w:eastAsia="zh-CN" w:bidi="zh-CN"/>
      </w:rPr>
    </w:lvl>
    <w:lvl w:ilvl="1" w:tentative="0">
      <w:start w:val="1"/>
      <w:numFmt w:val="decimal"/>
      <w:lvlText w:val="%1.%2"/>
      <w:lvlJc w:val="left"/>
      <w:pPr>
        <w:ind w:left="600" w:hanging="480"/>
      </w:pPr>
      <w:rPr>
        <w:rFonts w:hint="default" w:ascii="宋体" w:hAnsi="宋体" w:eastAsia="宋体" w:cs="宋体"/>
        <w:w w:val="100"/>
        <w:sz w:val="24"/>
        <w:szCs w:val="24"/>
        <w:lang w:val="zh-CN" w:eastAsia="zh-CN" w:bidi="zh-CN"/>
      </w:rPr>
    </w:lvl>
    <w:lvl w:ilvl="2" w:tentative="0">
      <w:start w:val="0"/>
      <w:numFmt w:val="bullet"/>
      <w:lvlText w:val="•"/>
      <w:lvlJc w:val="left"/>
      <w:pPr>
        <w:ind w:left="2237" w:hanging="480"/>
      </w:pPr>
      <w:rPr>
        <w:rFonts w:hint="default"/>
        <w:lang w:val="zh-CN" w:eastAsia="zh-CN" w:bidi="zh-CN"/>
      </w:rPr>
    </w:lvl>
    <w:lvl w:ilvl="3" w:tentative="0">
      <w:start w:val="0"/>
      <w:numFmt w:val="bullet"/>
      <w:lvlText w:val="•"/>
      <w:lvlJc w:val="left"/>
      <w:pPr>
        <w:ind w:left="3055" w:hanging="480"/>
      </w:pPr>
      <w:rPr>
        <w:rFonts w:hint="default"/>
        <w:lang w:val="zh-CN" w:eastAsia="zh-CN" w:bidi="zh-CN"/>
      </w:rPr>
    </w:lvl>
    <w:lvl w:ilvl="4" w:tentative="0">
      <w:start w:val="0"/>
      <w:numFmt w:val="bullet"/>
      <w:lvlText w:val="•"/>
      <w:lvlJc w:val="left"/>
      <w:pPr>
        <w:ind w:left="3874" w:hanging="480"/>
      </w:pPr>
      <w:rPr>
        <w:rFonts w:hint="default"/>
        <w:lang w:val="zh-CN" w:eastAsia="zh-CN" w:bidi="zh-CN"/>
      </w:rPr>
    </w:lvl>
    <w:lvl w:ilvl="5" w:tentative="0">
      <w:start w:val="0"/>
      <w:numFmt w:val="bullet"/>
      <w:lvlText w:val="•"/>
      <w:lvlJc w:val="left"/>
      <w:pPr>
        <w:ind w:left="4693" w:hanging="480"/>
      </w:pPr>
      <w:rPr>
        <w:rFonts w:hint="default"/>
        <w:lang w:val="zh-CN" w:eastAsia="zh-CN" w:bidi="zh-CN"/>
      </w:rPr>
    </w:lvl>
    <w:lvl w:ilvl="6" w:tentative="0">
      <w:start w:val="0"/>
      <w:numFmt w:val="bullet"/>
      <w:lvlText w:val="•"/>
      <w:lvlJc w:val="left"/>
      <w:pPr>
        <w:ind w:left="5511" w:hanging="480"/>
      </w:pPr>
      <w:rPr>
        <w:rFonts w:hint="default"/>
        <w:lang w:val="zh-CN" w:eastAsia="zh-CN" w:bidi="zh-CN"/>
      </w:rPr>
    </w:lvl>
    <w:lvl w:ilvl="7" w:tentative="0">
      <w:start w:val="0"/>
      <w:numFmt w:val="bullet"/>
      <w:lvlText w:val="•"/>
      <w:lvlJc w:val="left"/>
      <w:pPr>
        <w:ind w:left="6330" w:hanging="480"/>
      </w:pPr>
      <w:rPr>
        <w:rFonts w:hint="default"/>
        <w:lang w:val="zh-CN" w:eastAsia="zh-CN" w:bidi="zh-CN"/>
      </w:rPr>
    </w:lvl>
    <w:lvl w:ilvl="8" w:tentative="0">
      <w:start w:val="0"/>
      <w:numFmt w:val="bullet"/>
      <w:lvlText w:val="•"/>
      <w:lvlJc w:val="left"/>
      <w:pPr>
        <w:ind w:left="7149" w:hanging="480"/>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480" w:hanging="360"/>
      </w:pPr>
      <w:rPr>
        <w:rFonts w:hint="default" w:ascii="宋体" w:hAnsi="宋体" w:eastAsia="宋体" w:cs="宋体"/>
        <w:w w:val="100"/>
        <w:sz w:val="24"/>
        <w:szCs w:val="24"/>
        <w:lang w:val="zh-CN" w:eastAsia="zh-CN" w:bidi="zh-CN"/>
      </w:rPr>
    </w:lvl>
    <w:lvl w:ilvl="1" w:tentative="0">
      <w:start w:val="0"/>
      <w:numFmt w:val="bullet"/>
      <w:lvlText w:val="•"/>
      <w:lvlJc w:val="left"/>
      <w:pPr>
        <w:ind w:left="1310" w:hanging="360"/>
      </w:pPr>
      <w:rPr>
        <w:rFonts w:hint="default"/>
        <w:lang w:val="zh-CN" w:eastAsia="zh-CN" w:bidi="zh-CN"/>
      </w:rPr>
    </w:lvl>
    <w:lvl w:ilvl="2" w:tentative="0">
      <w:start w:val="0"/>
      <w:numFmt w:val="bullet"/>
      <w:lvlText w:val="•"/>
      <w:lvlJc w:val="left"/>
      <w:pPr>
        <w:ind w:left="2141" w:hanging="360"/>
      </w:pPr>
      <w:rPr>
        <w:rFonts w:hint="default"/>
        <w:lang w:val="zh-CN" w:eastAsia="zh-CN" w:bidi="zh-CN"/>
      </w:rPr>
    </w:lvl>
    <w:lvl w:ilvl="3" w:tentative="0">
      <w:start w:val="0"/>
      <w:numFmt w:val="bullet"/>
      <w:lvlText w:val="•"/>
      <w:lvlJc w:val="left"/>
      <w:pPr>
        <w:ind w:left="2971" w:hanging="360"/>
      </w:pPr>
      <w:rPr>
        <w:rFonts w:hint="default"/>
        <w:lang w:val="zh-CN" w:eastAsia="zh-CN" w:bidi="zh-CN"/>
      </w:rPr>
    </w:lvl>
    <w:lvl w:ilvl="4" w:tentative="0">
      <w:start w:val="0"/>
      <w:numFmt w:val="bullet"/>
      <w:lvlText w:val="•"/>
      <w:lvlJc w:val="left"/>
      <w:pPr>
        <w:ind w:left="3802" w:hanging="360"/>
      </w:pPr>
      <w:rPr>
        <w:rFonts w:hint="default"/>
        <w:lang w:val="zh-CN" w:eastAsia="zh-CN" w:bidi="zh-CN"/>
      </w:rPr>
    </w:lvl>
    <w:lvl w:ilvl="5" w:tentative="0">
      <w:start w:val="0"/>
      <w:numFmt w:val="bullet"/>
      <w:lvlText w:val="•"/>
      <w:lvlJc w:val="left"/>
      <w:pPr>
        <w:ind w:left="4633" w:hanging="360"/>
      </w:pPr>
      <w:rPr>
        <w:rFonts w:hint="default"/>
        <w:lang w:val="zh-CN" w:eastAsia="zh-CN" w:bidi="zh-CN"/>
      </w:rPr>
    </w:lvl>
    <w:lvl w:ilvl="6" w:tentative="0">
      <w:start w:val="0"/>
      <w:numFmt w:val="bullet"/>
      <w:lvlText w:val="•"/>
      <w:lvlJc w:val="left"/>
      <w:pPr>
        <w:ind w:left="5463" w:hanging="360"/>
      </w:pPr>
      <w:rPr>
        <w:rFonts w:hint="default"/>
        <w:lang w:val="zh-CN" w:eastAsia="zh-CN" w:bidi="zh-CN"/>
      </w:rPr>
    </w:lvl>
    <w:lvl w:ilvl="7" w:tentative="0">
      <w:start w:val="0"/>
      <w:numFmt w:val="bullet"/>
      <w:lvlText w:val="•"/>
      <w:lvlJc w:val="left"/>
      <w:pPr>
        <w:ind w:left="6294" w:hanging="360"/>
      </w:pPr>
      <w:rPr>
        <w:rFonts w:hint="default"/>
        <w:lang w:val="zh-CN" w:eastAsia="zh-CN" w:bidi="zh-CN"/>
      </w:rPr>
    </w:lvl>
    <w:lvl w:ilvl="8" w:tentative="0">
      <w:start w:val="0"/>
      <w:numFmt w:val="bullet"/>
      <w:lvlText w:val="•"/>
      <w:lvlJc w:val="left"/>
      <w:pPr>
        <w:ind w:left="7125" w:hanging="360"/>
      </w:pPr>
      <w:rPr>
        <w:rFonts w:hint="default"/>
        <w:lang w:val="zh-CN" w:eastAsia="zh-CN" w:bidi="zh-CN"/>
      </w:rPr>
    </w:lvl>
  </w:abstractNum>
  <w:abstractNum w:abstractNumId="4">
    <w:nsid w:val="25B654F3"/>
    <w:multiLevelType w:val="multilevel"/>
    <w:tmpl w:val="25B654F3"/>
    <w:lvl w:ilvl="0" w:tentative="0">
      <w:start w:val="8"/>
      <w:numFmt w:val="decimal"/>
      <w:lvlText w:val="%1"/>
      <w:lvlJc w:val="left"/>
      <w:pPr>
        <w:ind w:left="540" w:hanging="420"/>
      </w:pPr>
      <w:rPr>
        <w:rFonts w:hint="default"/>
        <w:lang w:val="zh-CN" w:eastAsia="zh-CN" w:bidi="zh-CN"/>
      </w:rPr>
    </w:lvl>
    <w:lvl w:ilvl="1" w:tentative="0">
      <w:start w:val="1"/>
      <w:numFmt w:val="decimal"/>
      <w:lvlText w:val="%1.%2"/>
      <w:lvlJc w:val="left"/>
      <w:pPr>
        <w:ind w:left="540" w:hanging="420"/>
      </w:pPr>
      <w:rPr>
        <w:rFonts w:hint="default" w:ascii="宋体" w:hAnsi="宋体" w:eastAsia="宋体" w:cs="宋体"/>
        <w:w w:val="100"/>
        <w:sz w:val="24"/>
        <w:szCs w:val="24"/>
        <w:lang w:val="zh-CN" w:eastAsia="zh-CN" w:bidi="zh-CN"/>
      </w:rPr>
    </w:lvl>
    <w:lvl w:ilvl="2" w:tentative="0">
      <w:start w:val="0"/>
      <w:numFmt w:val="bullet"/>
      <w:lvlText w:val="•"/>
      <w:lvlJc w:val="left"/>
      <w:pPr>
        <w:ind w:left="2189" w:hanging="420"/>
      </w:pPr>
      <w:rPr>
        <w:rFonts w:hint="default"/>
        <w:lang w:val="zh-CN" w:eastAsia="zh-CN" w:bidi="zh-CN"/>
      </w:rPr>
    </w:lvl>
    <w:lvl w:ilvl="3" w:tentative="0">
      <w:start w:val="0"/>
      <w:numFmt w:val="bullet"/>
      <w:lvlText w:val="•"/>
      <w:lvlJc w:val="left"/>
      <w:pPr>
        <w:ind w:left="3013" w:hanging="420"/>
      </w:pPr>
      <w:rPr>
        <w:rFonts w:hint="default"/>
        <w:lang w:val="zh-CN" w:eastAsia="zh-CN" w:bidi="zh-CN"/>
      </w:rPr>
    </w:lvl>
    <w:lvl w:ilvl="4" w:tentative="0">
      <w:start w:val="0"/>
      <w:numFmt w:val="bullet"/>
      <w:lvlText w:val="•"/>
      <w:lvlJc w:val="left"/>
      <w:pPr>
        <w:ind w:left="3838" w:hanging="420"/>
      </w:pPr>
      <w:rPr>
        <w:rFonts w:hint="default"/>
        <w:lang w:val="zh-CN" w:eastAsia="zh-CN" w:bidi="zh-CN"/>
      </w:rPr>
    </w:lvl>
    <w:lvl w:ilvl="5" w:tentative="0">
      <w:start w:val="0"/>
      <w:numFmt w:val="bullet"/>
      <w:lvlText w:val="•"/>
      <w:lvlJc w:val="left"/>
      <w:pPr>
        <w:ind w:left="4663" w:hanging="420"/>
      </w:pPr>
      <w:rPr>
        <w:rFonts w:hint="default"/>
        <w:lang w:val="zh-CN" w:eastAsia="zh-CN" w:bidi="zh-CN"/>
      </w:rPr>
    </w:lvl>
    <w:lvl w:ilvl="6" w:tentative="0">
      <w:start w:val="0"/>
      <w:numFmt w:val="bullet"/>
      <w:lvlText w:val="•"/>
      <w:lvlJc w:val="left"/>
      <w:pPr>
        <w:ind w:left="5487" w:hanging="420"/>
      </w:pPr>
      <w:rPr>
        <w:rFonts w:hint="default"/>
        <w:lang w:val="zh-CN" w:eastAsia="zh-CN" w:bidi="zh-CN"/>
      </w:rPr>
    </w:lvl>
    <w:lvl w:ilvl="7" w:tentative="0">
      <w:start w:val="0"/>
      <w:numFmt w:val="bullet"/>
      <w:lvlText w:val="•"/>
      <w:lvlJc w:val="left"/>
      <w:pPr>
        <w:ind w:left="6312" w:hanging="420"/>
      </w:pPr>
      <w:rPr>
        <w:rFonts w:hint="default"/>
        <w:lang w:val="zh-CN" w:eastAsia="zh-CN" w:bidi="zh-CN"/>
      </w:rPr>
    </w:lvl>
    <w:lvl w:ilvl="8" w:tentative="0">
      <w:start w:val="0"/>
      <w:numFmt w:val="bullet"/>
      <w:lvlText w:val="•"/>
      <w:lvlJc w:val="left"/>
      <w:pPr>
        <w:ind w:left="7137" w:hanging="420"/>
      </w:pPr>
      <w:rPr>
        <w:rFonts w:hint="default"/>
        <w:lang w:val="zh-CN" w:eastAsia="zh-CN" w:bidi="zh-CN"/>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ZDg2MTYyNjBlNmRjZjc5NDhhN2U3ZWI1NjJhMWZmOWMifQ=="/>
  </w:docVars>
  <w:rsids>
    <w:rsidRoot w:val="00290920"/>
    <w:rsid w:val="000278DC"/>
    <w:rsid w:val="00032473"/>
    <w:rsid w:val="000579A5"/>
    <w:rsid w:val="00061585"/>
    <w:rsid w:val="000B6DE9"/>
    <w:rsid w:val="000D1F83"/>
    <w:rsid w:val="001175B4"/>
    <w:rsid w:val="001C1FC1"/>
    <w:rsid w:val="001E006E"/>
    <w:rsid w:val="001E1AAD"/>
    <w:rsid w:val="00200ABC"/>
    <w:rsid w:val="00244132"/>
    <w:rsid w:val="0026017D"/>
    <w:rsid w:val="00263C88"/>
    <w:rsid w:val="002704DC"/>
    <w:rsid w:val="002903F9"/>
    <w:rsid w:val="00290920"/>
    <w:rsid w:val="00293E0F"/>
    <w:rsid w:val="002D2B86"/>
    <w:rsid w:val="0030225B"/>
    <w:rsid w:val="00304FD6"/>
    <w:rsid w:val="0033239A"/>
    <w:rsid w:val="00333CDD"/>
    <w:rsid w:val="0036038A"/>
    <w:rsid w:val="00374A7C"/>
    <w:rsid w:val="00376968"/>
    <w:rsid w:val="0037720E"/>
    <w:rsid w:val="00380A6D"/>
    <w:rsid w:val="003B1541"/>
    <w:rsid w:val="003D04CD"/>
    <w:rsid w:val="003F6CFA"/>
    <w:rsid w:val="00405E2E"/>
    <w:rsid w:val="00436F89"/>
    <w:rsid w:val="00440CA5"/>
    <w:rsid w:val="00470110"/>
    <w:rsid w:val="004900E6"/>
    <w:rsid w:val="00492762"/>
    <w:rsid w:val="004D63C4"/>
    <w:rsid w:val="004F1C97"/>
    <w:rsid w:val="004F1D71"/>
    <w:rsid w:val="004F5AA0"/>
    <w:rsid w:val="005046FD"/>
    <w:rsid w:val="0055149E"/>
    <w:rsid w:val="005961DF"/>
    <w:rsid w:val="005B134C"/>
    <w:rsid w:val="005C44A5"/>
    <w:rsid w:val="005E0325"/>
    <w:rsid w:val="005E4D64"/>
    <w:rsid w:val="006511E0"/>
    <w:rsid w:val="00687D11"/>
    <w:rsid w:val="006C39B4"/>
    <w:rsid w:val="006C4684"/>
    <w:rsid w:val="007103E9"/>
    <w:rsid w:val="00724FE4"/>
    <w:rsid w:val="00766F3F"/>
    <w:rsid w:val="00774550"/>
    <w:rsid w:val="007816F0"/>
    <w:rsid w:val="007B7DB6"/>
    <w:rsid w:val="007C6B63"/>
    <w:rsid w:val="007E5EB5"/>
    <w:rsid w:val="00825F7C"/>
    <w:rsid w:val="0085168B"/>
    <w:rsid w:val="00865528"/>
    <w:rsid w:val="00866AFB"/>
    <w:rsid w:val="00883192"/>
    <w:rsid w:val="008904FE"/>
    <w:rsid w:val="00895286"/>
    <w:rsid w:val="008F71D5"/>
    <w:rsid w:val="009033D2"/>
    <w:rsid w:val="00963BF3"/>
    <w:rsid w:val="009700E1"/>
    <w:rsid w:val="0098204C"/>
    <w:rsid w:val="009C1E21"/>
    <w:rsid w:val="009C7DA2"/>
    <w:rsid w:val="009F02EB"/>
    <w:rsid w:val="00AB12C6"/>
    <w:rsid w:val="00AD3415"/>
    <w:rsid w:val="00B04DFD"/>
    <w:rsid w:val="00B10FBE"/>
    <w:rsid w:val="00B40D99"/>
    <w:rsid w:val="00B50488"/>
    <w:rsid w:val="00B75A02"/>
    <w:rsid w:val="00B82100"/>
    <w:rsid w:val="00BD1A31"/>
    <w:rsid w:val="00BE263E"/>
    <w:rsid w:val="00C241DE"/>
    <w:rsid w:val="00C311FA"/>
    <w:rsid w:val="00C53042"/>
    <w:rsid w:val="00C7250B"/>
    <w:rsid w:val="00C86B2B"/>
    <w:rsid w:val="00CB539F"/>
    <w:rsid w:val="00D15940"/>
    <w:rsid w:val="00D26976"/>
    <w:rsid w:val="00D43431"/>
    <w:rsid w:val="00D64D35"/>
    <w:rsid w:val="00D96750"/>
    <w:rsid w:val="00DF7453"/>
    <w:rsid w:val="00E17C27"/>
    <w:rsid w:val="00E20AA2"/>
    <w:rsid w:val="00E228B5"/>
    <w:rsid w:val="00E93DD6"/>
    <w:rsid w:val="00EA2634"/>
    <w:rsid w:val="00EA3409"/>
    <w:rsid w:val="00EB7C8E"/>
    <w:rsid w:val="00EC0C64"/>
    <w:rsid w:val="00EC4F63"/>
    <w:rsid w:val="00EE28D9"/>
    <w:rsid w:val="00EE57D0"/>
    <w:rsid w:val="00F0298A"/>
    <w:rsid w:val="00F3134F"/>
    <w:rsid w:val="00F44B39"/>
    <w:rsid w:val="00F92607"/>
    <w:rsid w:val="00FB1115"/>
    <w:rsid w:val="00FB3464"/>
    <w:rsid w:val="00FB62EB"/>
    <w:rsid w:val="00FC1E96"/>
    <w:rsid w:val="03832B42"/>
    <w:rsid w:val="04B765DA"/>
    <w:rsid w:val="10C54314"/>
    <w:rsid w:val="11E114B1"/>
    <w:rsid w:val="16284CA7"/>
    <w:rsid w:val="17FC15B3"/>
    <w:rsid w:val="193366D3"/>
    <w:rsid w:val="19547B1E"/>
    <w:rsid w:val="1A645A8A"/>
    <w:rsid w:val="1CF801A8"/>
    <w:rsid w:val="23B267CD"/>
    <w:rsid w:val="250E19FA"/>
    <w:rsid w:val="27667CB9"/>
    <w:rsid w:val="2A161CA6"/>
    <w:rsid w:val="2BD8393D"/>
    <w:rsid w:val="2E960B1F"/>
    <w:rsid w:val="2FF5681A"/>
    <w:rsid w:val="30404B41"/>
    <w:rsid w:val="317D0405"/>
    <w:rsid w:val="35876D2B"/>
    <w:rsid w:val="368725BA"/>
    <w:rsid w:val="3A303304"/>
    <w:rsid w:val="3C8A0F69"/>
    <w:rsid w:val="3CF302FC"/>
    <w:rsid w:val="3E757024"/>
    <w:rsid w:val="409A70F8"/>
    <w:rsid w:val="434D3AFE"/>
    <w:rsid w:val="4A570D22"/>
    <w:rsid w:val="4B465BF0"/>
    <w:rsid w:val="4CBF73A6"/>
    <w:rsid w:val="4FC35096"/>
    <w:rsid w:val="55D3654B"/>
    <w:rsid w:val="58883D46"/>
    <w:rsid w:val="594C43FA"/>
    <w:rsid w:val="59A93259"/>
    <w:rsid w:val="5A295904"/>
    <w:rsid w:val="5F065544"/>
    <w:rsid w:val="60610663"/>
    <w:rsid w:val="60E30CCF"/>
    <w:rsid w:val="62222892"/>
    <w:rsid w:val="62E97EC7"/>
    <w:rsid w:val="630706AD"/>
    <w:rsid w:val="64191290"/>
    <w:rsid w:val="654E1A7F"/>
    <w:rsid w:val="659C2DC9"/>
    <w:rsid w:val="65B5029E"/>
    <w:rsid w:val="6AC66FD8"/>
    <w:rsid w:val="6AE45B3A"/>
    <w:rsid w:val="6D164F20"/>
    <w:rsid w:val="6DC04D12"/>
    <w:rsid w:val="71F6734A"/>
    <w:rsid w:val="7468551E"/>
    <w:rsid w:val="757423F0"/>
    <w:rsid w:val="773557E4"/>
    <w:rsid w:val="79DC313E"/>
    <w:rsid w:val="7E514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120"/>
      <w:outlineLvl w:val="0"/>
    </w:pPr>
    <w:rPr>
      <w:sz w:val="28"/>
      <w:szCs w:val="28"/>
    </w:rPr>
  </w:style>
  <w:style w:type="paragraph" w:styleId="3">
    <w:name w:val="heading 2"/>
    <w:basedOn w:val="1"/>
    <w:next w:val="1"/>
    <w:qFormat/>
    <w:uiPriority w:val="1"/>
    <w:pPr>
      <w:ind w:right="240"/>
      <w:jc w:val="center"/>
      <w:outlineLvl w:val="1"/>
    </w:pPr>
    <w:rPr>
      <w:b/>
      <w:bCs/>
      <w:sz w:val="24"/>
      <w:szCs w:val="24"/>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20"/>
    </w:pPr>
    <w:rPr>
      <w:sz w:val="24"/>
      <w:szCs w:val="24"/>
    </w:rPr>
  </w:style>
  <w:style w:type="paragraph" w:styleId="6">
    <w:name w:val="footer"/>
    <w:basedOn w:val="1"/>
    <w:link w:val="21"/>
    <w:qFormat/>
    <w:uiPriority w:val="0"/>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39"/>
    <w:pPr>
      <w:spacing w:before="316"/>
      <w:ind w:right="238"/>
      <w:jc w:val="center"/>
    </w:pPr>
    <w:rPr>
      <w:sz w:val="24"/>
      <w:szCs w:val="24"/>
    </w:rPr>
  </w:style>
  <w:style w:type="paragraph" w:styleId="9">
    <w:name w:val="Normal (Web)"/>
    <w:basedOn w:val="1"/>
    <w:link w:val="23"/>
    <w:qFormat/>
    <w:uiPriority w:val="99"/>
    <w:pPr>
      <w:widowControl/>
      <w:autoSpaceDE/>
      <w:autoSpaceDN/>
      <w:spacing w:before="100" w:beforeAutospacing="1" w:after="100" w:afterAutospacing="1" w:line="360" w:lineRule="auto"/>
    </w:pPr>
    <w:rPr>
      <w:rFonts w:cs="Times New Roman"/>
      <w:sz w:val="24"/>
      <w:szCs w:val="24"/>
      <w:lang w:bidi="ar-SA"/>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themeColor="hyperlink"/>
      <w:u w:val="single"/>
    </w:rPr>
  </w:style>
  <w:style w:type="paragraph" w:customStyle="1" w:styleId="14">
    <w:name w:val="表格内容"/>
    <w:basedOn w:val="15"/>
    <w:qFormat/>
    <w:uiPriority w:val="1"/>
    <w:rPr>
      <w:sz w:val="24"/>
    </w:rPr>
  </w:style>
  <w:style w:type="paragraph" w:customStyle="1" w:styleId="15">
    <w:name w:val="表格格式1"/>
    <w:basedOn w:val="1"/>
    <w:qFormat/>
    <w:uiPriority w:val="1"/>
    <w:pPr>
      <w:widowControl/>
      <w:jc w:val="center"/>
    </w:pPr>
    <w:rPr>
      <w:sz w:val="21"/>
      <w:szCs w:val="21"/>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4"/>
      <w:ind w:left="540" w:hanging="420"/>
    </w:pPr>
  </w:style>
  <w:style w:type="paragraph" w:customStyle="1" w:styleId="18">
    <w:name w:val="Table Paragraph"/>
    <w:basedOn w:val="1"/>
    <w:qFormat/>
    <w:uiPriority w:val="1"/>
    <w:pPr>
      <w:spacing w:before="156"/>
      <w:ind w:left="112"/>
    </w:pPr>
  </w:style>
  <w:style w:type="paragraph" w:customStyle="1" w:styleId="19">
    <w:name w:val="WPSOffice手动目录 1"/>
    <w:qFormat/>
    <w:uiPriority w:val="0"/>
    <w:rPr>
      <w:rFonts w:ascii="Times New Roman" w:hAnsi="Times New Roman" w:eastAsia="宋体" w:cs="Times New Roman"/>
      <w:lang w:val="en-US" w:eastAsia="zh-CN" w:bidi="ar-SA"/>
    </w:rPr>
  </w:style>
  <w:style w:type="character" w:customStyle="1" w:styleId="20">
    <w:name w:val="页眉 字符"/>
    <w:basedOn w:val="12"/>
    <w:link w:val="7"/>
    <w:qFormat/>
    <w:uiPriority w:val="0"/>
    <w:rPr>
      <w:rFonts w:ascii="宋体" w:hAnsi="宋体" w:cs="宋体"/>
      <w:sz w:val="18"/>
      <w:szCs w:val="18"/>
      <w:lang w:val="zh-CN" w:bidi="zh-CN"/>
    </w:rPr>
  </w:style>
  <w:style w:type="character" w:customStyle="1" w:styleId="21">
    <w:name w:val="页脚 字符"/>
    <w:basedOn w:val="12"/>
    <w:link w:val="6"/>
    <w:qFormat/>
    <w:uiPriority w:val="0"/>
    <w:rPr>
      <w:rFonts w:ascii="宋体" w:hAnsi="宋体" w:cs="宋体"/>
      <w:sz w:val="18"/>
      <w:szCs w:val="18"/>
      <w:lang w:val="zh-CN" w:bidi="zh-CN"/>
    </w:rPr>
  </w:style>
  <w:style w:type="paragraph" w:customStyle="1" w:styleId="22">
    <w:name w:val="TOC 标题1"/>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66091" w:themeColor="accent1" w:themeShade="BF"/>
      <w:sz w:val="32"/>
      <w:szCs w:val="32"/>
      <w:lang w:val="en-US" w:bidi="ar-SA"/>
    </w:rPr>
  </w:style>
  <w:style w:type="character" w:customStyle="1" w:styleId="23">
    <w:name w:val="普通(网站) 字符"/>
    <w:link w:val="9"/>
    <w:qFormat/>
    <w:uiPriority w:val="99"/>
    <w:rPr>
      <w:rFonts w:ascii="宋体" w:hAnsi="宋体"/>
      <w:sz w:val="24"/>
      <w:szCs w:val="24"/>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textRotate="1"/>
    <customShpInfo spid="_x0000_s4099" textRotate="1"/>
    <customShpInfo spid="_x0000_s4100"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A8A30E-E66E-4424-874C-DCBC90A581A3}">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381</Words>
  <Characters>406</Characters>
  <Lines>127</Lines>
  <Paragraphs>35</Paragraphs>
  <TotalTime>1</TotalTime>
  <ScaleCrop>false</ScaleCrop>
  <LinksUpToDate>false</LinksUpToDate>
  <CharactersWithSpaces>426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2019-06-04T02:04:00Z</dcterms:created>
  <dc:creator>尚丹</dc:creator>
  <cp:lastModifiedBy>sunshine</cp:lastModifiedBy>
  <cp:lastPrinted>2021-08-24T02:45:00Z</cp:lastPrinted>
  <dcterms:modified xsi:type="dcterms:W3CDTF">2026-01-04T07:36:41Z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2018-08-30T00:00:00Z</vt:filetime>
  </property>
  <property fmtid="{D5CDD505-2E9C-101B-9397-08002B2CF9AE}" pid="3" name="Creator">
    <vt:lpwstr>Acrobat PDFMaker 15 Word 版</vt:lpwstr>
  </property>
  <property fmtid="{D5CDD505-2E9C-101B-9397-08002B2CF9AE}" pid="4" name="LastSaved">
    <vt:filetime>2019-06-04T00:00:00Z</vt:filetime>
  </property>
  <property fmtid="{D5CDD505-2E9C-101B-9397-08002B2CF9AE}" pid="5" name="KSOProductBuildVer">
    <vt:lpwstr>2052-12.1.0.24034</vt:lpwstr>
  </property>
  <property fmtid="{D5CDD505-2E9C-101B-9397-08002B2CF9AE}" pid="6" name="ICV">
    <vt:lpwstr>7354016AF6564A81BF884D6410CD1B06</vt:lpwstr>
  </property>
  <property fmtid="{D5CDD505-2E9C-101B-9397-08002B2CF9AE}" pid="7" name="KSOTemplateDocerSaveRecord">
    <vt:lpwstr>eyJoZGlkIjoiZDg2MTYyNjBlNmRjZjc5NDhhN2U3ZWI1NjJhMWZmOWMiLCJ1c2VySWQiOiIxMzgyOTk2Njk4In0=</vt:lpwstr>
  </property>
</Properties>
</file>